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13F" w:rsidRPr="00FD11FC" w:rsidRDefault="00F0113F" w:rsidP="00635A7C">
      <w:pPr>
        <w:jc w:val="center"/>
        <w:rPr>
          <w:rFonts w:ascii="Times New Roman" w:hAnsi="Times New Roman"/>
          <w:b/>
          <w:sz w:val="28"/>
          <w:szCs w:val="28"/>
        </w:rPr>
      </w:pPr>
      <w:r w:rsidRPr="00FD11FC">
        <w:rPr>
          <w:rFonts w:ascii="Times New Roman" w:hAnsi="Times New Roman"/>
          <w:b/>
          <w:sz w:val="28"/>
          <w:szCs w:val="28"/>
        </w:rPr>
        <w:t>НАЛОГОВАЯ НАГРУЗКА В РЫБНОЙ ОТРАСЛИ: ОЦЕНКА И ПРОГНОЗ</w:t>
      </w:r>
    </w:p>
    <w:p w:rsidR="00F0113F" w:rsidRDefault="00F0113F" w:rsidP="00D272CD">
      <w:pPr>
        <w:jc w:val="both"/>
        <w:rPr>
          <w:rFonts w:ascii="Times New Roman" w:hAnsi="Times New Roman"/>
          <w:sz w:val="28"/>
          <w:szCs w:val="28"/>
        </w:rPr>
      </w:pPr>
    </w:p>
    <w:p w:rsidR="00F0113F" w:rsidRPr="003A7B70" w:rsidRDefault="00F0113F" w:rsidP="00FD11FC">
      <w:pPr>
        <w:jc w:val="both"/>
        <w:rPr>
          <w:rFonts w:ascii="Times New Roman" w:hAnsi="Times New Roman"/>
          <w:sz w:val="28"/>
          <w:szCs w:val="28"/>
        </w:rPr>
      </w:pPr>
      <w:smartTag w:uri="urn:schemas-microsoft-com:office:smarttags" w:element="place">
        <w:r>
          <w:rPr>
            <w:rFonts w:ascii="Times New Roman" w:hAnsi="Times New Roman"/>
            <w:sz w:val="28"/>
            <w:szCs w:val="28"/>
            <w:lang w:val="en-US"/>
          </w:rPr>
          <w:t>I</w:t>
        </w:r>
        <w:r>
          <w:rPr>
            <w:rFonts w:ascii="Times New Roman" w:hAnsi="Times New Roman"/>
            <w:sz w:val="28"/>
            <w:szCs w:val="28"/>
          </w:rPr>
          <w:t>.</w:t>
        </w:r>
      </w:smartTag>
      <w:r>
        <w:rPr>
          <w:rFonts w:ascii="Times New Roman" w:hAnsi="Times New Roman"/>
          <w:sz w:val="28"/>
          <w:szCs w:val="28"/>
        </w:rPr>
        <w:t xml:space="preserve"> </w:t>
      </w:r>
      <w:r w:rsidRPr="003A7B70">
        <w:rPr>
          <w:rFonts w:ascii="Times New Roman" w:hAnsi="Times New Roman"/>
          <w:sz w:val="28"/>
          <w:szCs w:val="28"/>
        </w:rPr>
        <w:t xml:space="preserve">ПОНЯТИЕ </w:t>
      </w:r>
      <w:r>
        <w:rPr>
          <w:rFonts w:ascii="Times New Roman" w:hAnsi="Times New Roman"/>
          <w:sz w:val="28"/>
          <w:szCs w:val="28"/>
        </w:rPr>
        <w:t>«НАЛОГОВАЯ (ФИСКАЛЬНАЯ) НАГРУЗКА»</w:t>
      </w:r>
    </w:p>
    <w:p w:rsidR="00F0113F" w:rsidRDefault="00F0113F" w:rsidP="00D272CD">
      <w:pPr>
        <w:jc w:val="both"/>
        <w:rPr>
          <w:rFonts w:ascii="Times New Roman" w:hAnsi="Times New Roman"/>
          <w:sz w:val="28"/>
          <w:szCs w:val="28"/>
        </w:rPr>
      </w:pPr>
    </w:p>
    <w:p w:rsidR="00F0113F" w:rsidRDefault="00F0113F" w:rsidP="000200D9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российском законодательстве представлены два подхода к определению налоговой нагрузки. Первый закреплён в методике Федеральной налоговой службы (ФНС России). Согласно этой методике налоговая нагрузка «рассчитана как соотношение суммы уплаченных налогов по данным отчётности налоговых органов и оборота (выручки) организаций по данным Федеральной службы государственной статистики (Росстата)»</w:t>
      </w:r>
      <w:r>
        <w:rPr>
          <w:rStyle w:val="FootnoteReference"/>
          <w:rFonts w:ascii="Times New Roman" w:hAnsi="Times New Roman"/>
          <w:sz w:val="28"/>
          <w:szCs w:val="28"/>
        </w:rPr>
        <w:footnoteReference w:id="2"/>
      </w:r>
      <w:r>
        <w:rPr>
          <w:rFonts w:ascii="Times New Roman" w:hAnsi="Times New Roman"/>
          <w:sz w:val="28"/>
          <w:szCs w:val="28"/>
        </w:rPr>
        <w:t>.</w:t>
      </w:r>
    </w:p>
    <w:p w:rsidR="00F0113F" w:rsidRDefault="00F0113F" w:rsidP="000200D9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Второй подход к определению налоговой нагрузки реализован в Основных направлениях налоговой политики Российской Федерации</w:t>
      </w:r>
      <w:r>
        <w:rPr>
          <w:rStyle w:val="FootnoteReference"/>
          <w:rFonts w:ascii="Times New Roman" w:hAnsi="Times New Roman"/>
          <w:sz w:val="28"/>
          <w:szCs w:val="28"/>
        </w:rPr>
        <w:footnoteReference w:id="3"/>
      </w:r>
      <w:r>
        <w:rPr>
          <w:rFonts w:ascii="Times New Roman" w:hAnsi="Times New Roman"/>
          <w:sz w:val="28"/>
          <w:szCs w:val="28"/>
        </w:rPr>
        <w:t xml:space="preserve">. Согласно этому подходу налоговая нагрузка рассчитывается как соотношение налоговых поступлений и ВВП – как в целом, так и для каждого налога в отдельности, а также отдельно для нефтегазового и ненефтегазового секторов. </w:t>
      </w:r>
    </w:p>
    <w:p w:rsidR="00F0113F" w:rsidRDefault="00F0113F" w:rsidP="00B77BC6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научно-исследовательской работе аудиторско-консалтинговой компании ФБК </w:t>
      </w:r>
      <w:r>
        <w:rPr>
          <w:rFonts w:ascii="Times New Roman" w:hAnsi="Times New Roman"/>
          <w:sz w:val="28"/>
          <w:szCs w:val="28"/>
          <w:lang w:val="en-US"/>
        </w:rPr>
        <w:t>GrantThornton</w:t>
      </w:r>
      <w:r w:rsidRPr="00FD11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«Аналитическая оценка налоговой нагрузки в российской экономике» предлагается рассчитывать соответствующий показатель как соотношение суммы налоговых платежей в консолидированный бюджет Российской Федерации, страховых взносов на обязательное пенсионное страхование, обязательное медицинское страхование и обязательное социальное страхование, за вычетом налога на доходы физических лиц, к обороту предприятий по виду экономической деятельности.</w:t>
      </w:r>
    </w:p>
    <w:p w:rsidR="00F0113F" w:rsidRDefault="00F0113F" w:rsidP="00D272CD">
      <w:pPr>
        <w:jc w:val="both"/>
        <w:rPr>
          <w:rFonts w:ascii="Times New Roman" w:hAnsi="Times New Roman"/>
          <w:sz w:val="28"/>
          <w:szCs w:val="28"/>
        </w:rPr>
      </w:pPr>
    </w:p>
    <w:p w:rsidR="00F0113F" w:rsidRPr="00FD11FC" w:rsidRDefault="00F0113F" w:rsidP="000E0AE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. РАСЧЁТ ФИСКАЛЬНОЙ (НАЛОГОВОЙ) НАГРУЗКИ РЫБНОЙ ОТРАСЛИ: МЕТОДИКА ФНС И ФБК </w:t>
      </w:r>
      <w:r>
        <w:rPr>
          <w:rFonts w:ascii="Times New Roman" w:hAnsi="Times New Roman"/>
          <w:sz w:val="28"/>
          <w:szCs w:val="28"/>
          <w:lang w:val="en-US"/>
        </w:rPr>
        <w:t>GRANTTHORNTON</w:t>
      </w:r>
    </w:p>
    <w:p w:rsidR="00F0113F" w:rsidRDefault="00F0113F" w:rsidP="00D272CD">
      <w:pPr>
        <w:jc w:val="both"/>
        <w:rPr>
          <w:rFonts w:ascii="Times New Roman" w:hAnsi="Times New Roman"/>
          <w:sz w:val="28"/>
          <w:szCs w:val="28"/>
        </w:rPr>
      </w:pPr>
    </w:p>
    <w:p w:rsidR="00F0113F" w:rsidRDefault="00F0113F" w:rsidP="00391F5C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Расчёт показателя фискальной (налоговой) нагрузки производился на основании следующих данных:</w:t>
      </w:r>
    </w:p>
    <w:p w:rsidR="00F0113F" w:rsidRDefault="00F0113F" w:rsidP="00391F5C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суммы налоговых платежей в консолидированный бюджет Российской Федерации по виду экономической деятельности «Рыболовство, рыбоводство» в 2005 – 2014 годах;</w:t>
      </w:r>
    </w:p>
    <w:p w:rsidR="00F0113F" w:rsidRDefault="00F0113F" w:rsidP="00391F5C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суммы страховых взносов на обязательное пенсионное страхование по виду экономической деятельности «Рыболовство, рыбоводство» в 2010 – 2014 годах;</w:t>
      </w:r>
    </w:p>
    <w:p w:rsidR="00F0113F" w:rsidRDefault="00F0113F" w:rsidP="00391F5C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суммы страховых взносов на обязательное медицинское страхование по виду экономической деятельности «Рыболовство, рыбоводство» в 2010 – 2014 годах;</w:t>
      </w:r>
    </w:p>
    <w:p w:rsidR="00F0113F" w:rsidRPr="00AB5A81" w:rsidRDefault="00F0113F" w:rsidP="00391F5C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суммы страховых взносов на обязательное социальное страхование по виду экономической деятельности «Рыболовство, рыбоводство» в 2010-2014 годах;</w:t>
      </w:r>
    </w:p>
    <w:p w:rsidR="00F0113F" w:rsidRDefault="00F0113F" w:rsidP="00391F5C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оборот предприятий по виду экономической деятельности «Рыболовство, рыбоводство» в 2005 – 2014 годах.</w:t>
      </w:r>
    </w:p>
    <w:p w:rsidR="00F0113F" w:rsidRDefault="00F0113F" w:rsidP="000200D9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Суммы налоговых платежей в консолидированный бюджет Российской Федерации по виду экономической деятельности «Рыболовство, рыбоводство» отражены в находящемся в открытом доступе на сайте ФНС </w:t>
      </w:r>
      <w:r w:rsidRPr="00FD11FC">
        <w:rPr>
          <w:rFonts w:ascii="Times New Roman" w:hAnsi="Times New Roman"/>
          <w:sz w:val="28"/>
          <w:szCs w:val="28"/>
        </w:rPr>
        <w:t>(</w:t>
      </w:r>
      <w:hyperlink r:id="rId7" w:history="1">
        <w:r w:rsidRPr="006B205F">
          <w:rPr>
            <w:rStyle w:val="Hyperlink"/>
            <w:rFonts w:ascii="Times New Roman" w:hAnsi="Times New Roman"/>
            <w:sz w:val="28"/>
            <w:szCs w:val="28"/>
            <w:lang w:val="en-US"/>
          </w:rPr>
          <w:t>www</w:t>
        </w:r>
        <w:r w:rsidRPr="00FD11FC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6B205F">
          <w:rPr>
            <w:rStyle w:val="Hyperlink"/>
            <w:rFonts w:ascii="Times New Roman" w:hAnsi="Times New Roman"/>
            <w:sz w:val="28"/>
            <w:szCs w:val="28"/>
            <w:lang w:val="en-US"/>
          </w:rPr>
          <w:t>nalog</w:t>
        </w:r>
        <w:r w:rsidRPr="00FD11FC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6B205F">
          <w:rPr>
            <w:rStyle w:val="Hyperlink"/>
            <w:rFonts w:ascii="Times New Roman" w:hAnsi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sz w:val="28"/>
          <w:szCs w:val="28"/>
        </w:rPr>
        <w:t xml:space="preserve">) отчёте по форме №1 – НОМ «Начисление и поступление налогов и сборов в консолидированный бюджет Российской Федерации по основным видам экономической деятельности». </w:t>
      </w:r>
    </w:p>
    <w:p w:rsidR="00F0113F" w:rsidRDefault="00F0113F" w:rsidP="000200D9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запросу РСПП Пенсионным фондом Российской Федерации были предоставлены данные по начисленным страховым взносам на обязательное пенсионное страхование и обязательное медицинское страхование в 2010 – 2014 годы, а Фондом социального страхования были предоставлены данные по начисленным страховым взносам на обязательное социальное страхование в 2010 – 2014 годы.</w:t>
      </w:r>
    </w:p>
    <w:p w:rsidR="00F0113F" w:rsidRDefault="00F0113F" w:rsidP="00D272CD">
      <w:pPr>
        <w:jc w:val="both"/>
        <w:rPr>
          <w:rFonts w:ascii="Times New Roman" w:hAnsi="Times New Roman"/>
          <w:sz w:val="28"/>
          <w:szCs w:val="28"/>
        </w:rPr>
      </w:pPr>
    </w:p>
    <w:p w:rsidR="00F0113F" w:rsidRDefault="00F0113F" w:rsidP="00D272C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1. Показатели фискальной (налоговой) нагрузки, рассчитываемые ФНС России, в %</w:t>
      </w:r>
      <w:r>
        <w:rPr>
          <w:rStyle w:val="FootnoteReference"/>
          <w:rFonts w:ascii="Times New Roman" w:hAnsi="Times New Roman"/>
          <w:sz w:val="28"/>
          <w:szCs w:val="28"/>
        </w:rPr>
        <w:footnoteReference w:id="4"/>
      </w:r>
    </w:p>
    <w:tbl>
      <w:tblPr>
        <w:tblW w:w="9396" w:type="dxa"/>
        <w:tblInd w:w="93" w:type="dxa"/>
        <w:tblLook w:val="00A0"/>
      </w:tblPr>
      <w:tblGrid>
        <w:gridCol w:w="1716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F0113F" w:rsidRPr="00A77117" w:rsidTr="00FE0F25">
        <w:trPr>
          <w:trHeight w:val="30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13F" w:rsidRPr="00FE0F25" w:rsidRDefault="00F0113F" w:rsidP="00FE0F25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FE0F25">
              <w:rPr>
                <w:rFonts w:ascii="Times New Roman" w:hAnsi="Times New Roman"/>
                <w:color w:val="000000"/>
                <w:szCs w:val="22"/>
              </w:rPr>
              <w:t>Год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13F" w:rsidRPr="00FE0F25" w:rsidRDefault="00F0113F" w:rsidP="00FE0F25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FE0F25">
              <w:rPr>
                <w:rFonts w:ascii="Times New Roman" w:hAnsi="Times New Roman"/>
                <w:color w:val="000000"/>
                <w:szCs w:val="22"/>
              </w:rPr>
              <w:t>2007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13F" w:rsidRPr="00FE0F25" w:rsidRDefault="00F0113F" w:rsidP="00FE0F25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FE0F25">
              <w:rPr>
                <w:rFonts w:ascii="Times New Roman" w:hAnsi="Times New Roman"/>
                <w:color w:val="000000"/>
                <w:szCs w:val="22"/>
              </w:rPr>
              <w:t>2008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13F" w:rsidRPr="00FE0F25" w:rsidRDefault="00F0113F" w:rsidP="00FE0F25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FE0F25">
              <w:rPr>
                <w:rFonts w:ascii="Times New Roman" w:hAnsi="Times New Roman"/>
                <w:color w:val="000000"/>
                <w:szCs w:val="22"/>
              </w:rPr>
              <w:t>2009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13F" w:rsidRPr="00FE0F25" w:rsidRDefault="00F0113F" w:rsidP="00FE0F25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FE0F25">
              <w:rPr>
                <w:rFonts w:ascii="Times New Roman" w:hAnsi="Times New Roman"/>
                <w:color w:val="000000"/>
                <w:szCs w:val="22"/>
              </w:rPr>
              <w:t>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13F" w:rsidRPr="00FE0F25" w:rsidRDefault="00F0113F" w:rsidP="00FE0F25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FE0F25">
              <w:rPr>
                <w:rFonts w:ascii="Times New Roman" w:hAnsi="Times New Roman"/>
                <w:color w:val="000000"/>
                <w:szCs w:val="22"/>
              </w:rPr>
              <w:t>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13F" w:rsidRPr="00FE0F25" w:rsidRDefault="00F0113F" w:rsidP="00FE0F25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FE0F25">
              <w:rPr>
                <w:rFonts w:ascii="Times New Roman" w:hAnsi="Times New Roman"/>
                <w:color w:val="000000"/>
                <w:szCs w:val="22"/>
              </w:rPr>
              <w:t>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13F" w:rsidRPr="00FE0F25" w:rsidRDefault="00F0113F" w:rsidP="00FE0F25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FE0F25">
              <w:rPr>
                <w:rFonts w:ascii="Times New Roman" w:hAnsi="Times New Roman"/>
                <w:color w:val="000000"/>
                <w:szCs w:val="22"/>
              </w:rPr>
              <w:t>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13F" w:rsidRPr="00FE0F25" w:rsidRDefault="00F0113F" w:rsidP="00FE0F25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FE0F25">
              <w:rPr>
                <w:rFonts w:ascii="Times New Roman" w:hAnsi="Times New Roman"/>
                <w:color w:val="000000"/>
                <w:szCs w:val="22"/>
              </w:rPr>
              <w:t>2014</w:t>
            </w:r>
          </w:p>
        </w:tc>
      </w:tr>
      <w:tr w:rsidR="00F0113F" w:rsidRPr="00A77117" w:rsidTr="00FE0F25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113F" w:rsidRPr="00FE0F25" w:rsidRDefault="00F0113F" w:rsidP="00FE0F25">
            <w:pPr>
              <w:rPr>
                <w:rFonts w:ascii="Times New Roman" w:hAnsi="Times New Roman"/>
                <w:color w:val="000000"/>
                <w:szCs w:val="22"/>
              </w:rPr>
            </w:pPr>
            <w:r w:rsidRPr="00FE0F25">
              <w:rPr>
                <w:rFonts w:ascii="Times New Roman" w:hAnsi="Times New Roman"/>
                <w:color w:val="000000"/>
                <w:szCs w:val="22"/>
              </w:rPr>
              <w:t>Показатель, 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13F" w:rsidRPr="00FE0F25" w:rsidRDefault="00F0113F" w:rsidP="00FE0F25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FE0F25">
              <w:rPr>
                <w:rFonts w:ascii="Times New Roman" w:hAnsi="Times New Roman"/>
                <w:color w:val="000000"/>
                <w:szCs w:val="22"/>
              </w:rPr>
              <w:t>15,3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13F" w:rsidRPr="00FE0F25" w:rsidRDefault="00F0113F" w:rsidP="00FE0F25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FE0F25">
              <w:rPr>
                <w:rFonts w:ascii="Times New Roman" w:hAnsi="Times New Roman"/>
                <w:color w:val="000000"/>
                <w:szCs w:val="22"/>
              </w:rPr>
              <w:t>13,7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13F" w:rsidRPr="00FE0F25" w:rsidRDefault="00F0113F" w:rsidP="00FE0F25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FE0F25">
              <w:rPr>
                <w:rFonts w:ascii="Times New Roman" w:hAnsi="Times New Roman"/>
                <w:color w:val="000000"/>
                <w:szCs w:val="22"/>
              </w:rPr>
              <w:t>12,6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13F" w:rsidRPr="00FE0F25" w:rsidRDefault="00F0113F" w:rsidP="00FE0F25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FE0F25">
              <w:rPr>
                <w:rFonts w:ascii="Times New Roman" w:hAnsi="Times New Roman"/>
                <w:color w:val="000000"/>
                <w:szCs w:val="22"/>
              </w:rPr>
              <w:t>9,3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13F" w:rsidRPr="00FE0F25" w:rsidRDefault="00F0113F" w:rsidP="00FE0F25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FE0F25">
              <w:rPr>
                <w:rFonts w:ascii="Times New Roman" w:hAnsi="Times New Roman"/>
                <w:color w:val="000000"/>
                <w:szCs w:val="22"/>
              </w:rPr>
              <w:t>7,6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13F" w:rsidRPr="00FE0F25" w:rsidRDefault="00F0113F" w:rsidP="00FE0F25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FE0F25">
              <w:rPr>
                <w:rFonts w:ascii="Times New Roman" w:hAnsi="Times New Roman"/>
                <w:color w:val="000000"/>
                <w:szCs w:val="22"/>
              </w:rPr>
              <w:t>7,1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13F" w:rsidRPr="00FE0F25" w:rsidRDefault="00F0113F" w:rsidP="00FE0F25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FE0F25">
              <w:rPr>
                <w:rFonts w:ascii="Times New Roman" w:hAnsi="Times New Roman"/>
                <w:color w:val="000000"/>
                <w:szCs w:val="22"/>
              </w:rPr>
              <w:t>6,6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13F" w:rsidRPr="00FE0F25" w:rsidRDefault="00F0113F" w:rsidP="00FE0F25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FE0F25">
              <w:rPr>
                <w:rFonts w:ascii="Times New Roman" w:hAnsi="Times New Roman"/>
                <w:color w:val="000000"/>
                <w:szCs w:val="22"/>
              </w:rPr>
              <w:t>6,2</w:t>
            </w:r>
          </w:p>
        </w:tc>
      </w:tr>
    </w:tbl>
    <w:p w:rsidR="00F0113F" w:rsidRDefault="00F0113F" w:rsidP="00D272CD">
      <w:pPr>
        <w:jc w:val="both"/>
        <w:rPr>
          <w:rFonts w:ascii="Times New Roman" w:hAnsi="Times New Roman"/>
          <w:sz w:val="28"/>
          <w:szCs w:val="28"/>
        </w:rPr>
      </w:pPr>
    </w:p>
    <w:p w:rsidR="00F0113F" w:rsidRDefault="00F0113F" w:rsidP="00D272C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2. Показатели фискальной (налоговой) нагрузки, рассчитанные по методике ФБК, в %</w:t>
      </w:r>
      <w:r>
        <w:rPr>
          <w:rStyle w:val="FootnoteReference"/>
          <w:rFonts w:ascii="Times New Roman" w:hAnsi="Times New Roman"/>
          <w:sz w:val="28"/>
          <w:szCs w:val="28"/>
        </w:rPr>
        <w:footnoteReference w:id="5"/>
      </w:r>
    </w:p>
    <w:tbl>
      <w:tblPr>
        <w:tblW w:w="9396" w:type="dxa"/>
        <w:tblInd w:w="93" w:type="dxa"/>
        <w:tblLook w:val="00A0"/>
      </w:tblPr>
      <w:tblGrid>
        <w:gridCol w:w="1716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F0113F" w:rsidRPr="00A77117" w:rsidTr="00FE0F25">
        <w:trPr>
          <w:trHeight w:val="30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13F" w:rsidRPr="00FE0F25" w:rsidRDefault="00F0113F" w:rsidP="00FE0F25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FE0F25">
              <w:rPr>
                <w:rFonts w:ascii="Times New Roman" w:hAnsi="Times New Roman"/>
                <w:color w:val="000000"/>
                <w:szCs w:val="22"/>
              </w:rPr>
              <w:t>Год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13F" w:rsidRPr="00FE0F25" w:rsidRDefault="00F0113F" w:rsidP="00FE0F25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FE0F25">
              <w:rPr>
                <w:rFonts w:ascii="Times New Roman" w:hAnsi="Times New Roman"/>
                <w:color w:val="000000"/>
                <w:szCs w:val="22"/>
              </w:rPr>
              <w:t>2007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13F" w:rsidRPr="00FE0F25" w:rsidRDefault="00F0113F" w:rsidP="00FE0F25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FE0F25">
              <w:rPr>
                <w:rFonts w:ascii="Times New Roman" w:hAnsi="Times New Roman"/>
                <w:color w:val="000000"/>
                <w:szCs w:val="22"/>
              </w:rPr>
              <w:t>2008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13F" w:rsidRPr="00FE0F25" w:rsidRDefault="00F0113F" w:rsidP="00FE0F25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FE0F25">
              <w:rPr>
                <w:rFonts w:ascii="Times New Roman" w:hAnsi="Times New Roman"/>
                <w:color w:val="000000"/>
                <w:szCs w:val="22"/>
              </w:rPr>
              <w:t>2009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13F" w:rsidRPr="00FE0F25" w:rsidRDefault="00F0113F" w:rsidP="00FE0F25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FE0F25">
              <w:rPr>
                <w:rFonts w:ascii="Times New Roman" w:hAnsi="Times New Roman"/>
                <w:color w:val="000000"/>
                <w:szCs w:val="22"/>
              </w:rPr>
              <w:t>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13F" w:rsidRPr="00FE0F25" w:rsidRDefault="00F0113F" w:rsidP="00FE0F25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FE0F25">
              <w:rPr>
                <w:rFonts w:ascii="Times New Roman" w:hAnsi="Times New Roman"/>
                <w:color w:val="000000"/>
                <w:szCs w:val="22"/>
              </w:rPr>
              <w:t>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13F" w:rsidRPr="00FE0F25" w:rsidRDefault="00F0113F" w:rsidP="00FE0F25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FE0F25">
              <w:rPr>
                <w:rFonts w:ascii="Times New Roman" w:hAnsi="Times New Roman"/>
                <w:color w:val="000000"/>
                <w:szCs w:val="22"/>
              </w:rPr>
              <w:t>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13F" w:rsidRPr="00FE0F25" w:rsidRDefault="00F0113F" w:rsidP="00FE0F25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FE0F25">
              <w:rPr>
                <w:rFonts w:ascii="Times New Roman" w:hAnsi="Times New Roman"/>
                <w:color w:val="000000"/>
                <w:szCs w:val="22"/>
              </w:rPr>
              <w:t>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13F" w:rsidRPr="00FE0F25" w:rsidRDefault="00F0113F" w:rsidP="00FE0F25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FE0F25">
              <w:rPr>
                <w:rFonts w:ascii="Times New Roman" w:hAnsi="Times New Roman"/>
                <w:color w:val="000000"/>
                <w:szCs w:val="22"/>
              </w:rPr>
              <w:t>2014</w:t>
            </w:r>
          </w:p>
        </w:tc>
      </w:tr>
      <w:tr w:rsidR="00F0113F" w:rsidRPr="00A77117" w:rsidTr="00FE0F25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113F" w:rsidRPr="00FE0F25" w:rsidRDefault="00F0113F" w:rsidP="00FE0F25">
            <w:pPr>
              <w:rPr>
                <w:rFonts w:ascii="Times New Roman" w:hAnsi="Times New Roman"/>
                <w:color w:val="000000"/>
                <w:szCs w:val="22"/>
              </w:rPr>
            </w:pPr>
            <w:r w:rsidRPr="00FE0F25">
              <w:rPr>
                <w:rFonts w:ascii="Times New Roman" w:hAnsi="Times New Roman"/>
                <w:color w:val="000000"/>
                <w:szCs w:val="22"/>
              </w:rPr>
              <w:t>Показатель, 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13F" w:rsidRPr="00FE0F25" w:rsidRDefault="00F0113F" w:rsidP="00FE0F25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bookmarkStart w:id="0" w:name="RANGE!C13"/>
            <w:bookmarkEnd w:id="0"/>
            <w:r w:rsidRPr="00FE0F25">
              <w:rPr>
                <w:rFonts w:ascii="Times New Roman" w:hAnsi="Times New Roman"/>
                <w:color w:val="000000"/>
                <w:szCs w:val="22"/>
              </w:rPr>
              <w:t>12,9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13F" w:rsidRPr="00FE0F25" w:rsidRDefault="00F0113F" w:rsidP="00FE0F25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FE0F25">
              <w:rPr>
                <w:rFonts w:ascii="Times New Roman" w:hAnsi="Times New Roman"/>
                <w:color w:val="000000"/>
                <w:szCs w:val="22"/>
              </w:rPr>
              <w:t>10,3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13F" w:rsidRPr="00FE0F25" w:rsidRDefault="00F0113F" w:rsidP="00FE0F25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FE0F25">
              <w:rPr>
                <w:rFonts w:ascii="Times New Roman" w:hAnsi="Times New Roman"/>
                <w:color w:val="000000"/>
                <w:szCs w:val="22"/>
              </w:rPr>
              <w:t>9,1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13F" w:rsidRPr="00FE0F25" w:rsidRDefault="00F0113F" w:rsidP="00FE0F25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FE0F25">
              <w:rPr>
                <w:rFonts w:ascii="Times New Roman" w:hAnsi="Times New Roman"/>
                <w:color w:val="000000"/>
                <w:szCs w:val="22"/>
              </w:rPr>
              <w:t>9,6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13F" w:rsidRPr="00FE0F25" w:rsidRDefault="00F0113F" w:rsidP="00FE0F25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FE0F25">
              <w:rPr>
                <w:rFonts w:ascii="Times New Roman" w:hAnsi="Times New Roman"/>
                <w:color w:val="000000"/>
                <w:szCs w:val="22"/>
              </w:rPr>
              <w:t>9,5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13F" w:rsidRPr="00FE0F25" w:rsidRDefault="00F0113F" w:rsidP="00FE0F25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FE0F25">
              <w:rPr>
                <w:rFonts w:ascii="Times New Roman" w:hAnsi="Times New Roman"/>
                <w:color w:val="000000"/>
                <w:szCs w:val="22"/>
              </w:rPr>
              <w:t>8,9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13F" w:rsidRPr="00FE0F25" w:rsidRDefault="00F0113F" w:rsidP="00FE0F25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FE0F25">
              <w:rPr>
                <w:rFonts w:ascii="Times New Roman" w:hAnsi="Times New Roman"/>
                <w:color w:val="000000"/>
                <w:szCs w:val="22"/>
              </w:rPr>
              <w:t>12,8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13F" w:rsidRPr="00FE0F25" w:rsidRDefault="00F0113F" w:rsidP="00FE0F25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FE0F25">
              <w:rPr>
                <w:rFonts w:ascii="Times New Roman" w:hAnsi="Times New Roman"/>
                <w:color w:val="000000"/>
                <w:szCs w:val="22"/>
              </w:rPr>
              <w:t>8,3</w:t>
            </w:r>
          </w:p>
        </w:tc>
      </w:tr>
    </w:tbl>
    <w:p w:rsidR="00F0113F" w:rsidRPr="001A3E04" w:rsidRDefault="00F0113F" w:rsidP="00D272CD">
      <w:pPr>
        <w:jc w:val="both"/>
        <w:rPr>
          <w:rFonts w:ascii="Times New Roman" w:hAnsi="Times New Roman"/>
          <w:sz w:val="20"/>
          <w:szCs w:val="28"/>
        </w:rPr>
      </w:pPr>
      <w:r w:rsidRPr="001A3E04">
        <w:rPr>
          <w:rFonts w:ascii="Times New Roman" w:hAnsi="Times New Roman"/>
          <w:sz w:val="20"/>
          <w:szCs w:val="28"/>
        </w:rPr>
        <w:t>Расчёт произведён без учёта взносов на обязательное медицинское страхование в связи с тем, что такие данные за 2011 год не собирались</w:t>
      </w:r>
    </w:p>
    <w:p w:rsidR="00F0113F" w:rsidRDefault="00F0113F" w:rsidP="00D272CD">
      <w:pPr>
        <w:jc w:val="both"/>
        <w:rPr>
          <w:rFonts w:ascii="Times New Roman" w:hAnsi="Times New Roman"/>
          <w:sz w:val="28"/>
          <w:szCs w:val="28"/>
        </w:rPr>
      </w:pPr>
    </w:p>
    <w:p w:rsidR="00F0113F" w:rsidRDefault="00F0113F" w:rsidP="000200D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C714D">
        <w:rPr>
          <w:rFonts w:ascii="Times New Roman" w:hAnsi="Times New Roman"/>
          <w:b/>
          <w:sz w:val="28"/>
          <w:szCs w:val="28"/>
        </w:rPr>
        <w:t>Общий показатель фискальной (налоговой) нагрузки в 2010 – 2014 годах, рассчитанный по методике ФБК, оказался выше показателей ФНС России.</w:t>
      </w:r>
      <w:r>
        <w:rPr>
          <w:rFonts w:ascii="Times New Roman" w:hAnsi="Times New Roman"/>
          <w:sz w:val="28"/>
          <w:szCs w:val="28"/>
        </w:rPr>
        <w:t xml:space="preserve"> Это произошло за счёт учёта страховых взносов на обязательное пенсионное страхование и обязательное социальное страхование. </w:t>
      </w:r>
    </w:p>
    <w:p w:rsidR="00F0113F" w:rsidRDefault="00F0113F" w:rsidP="00D272CD">
      <w:pPr>
        <w:jc w:val="both"/>
        <w:rPr>
          <w:rFonts w:ascii="Times New Roman" w:hAnsi="Times New Roman"/>
          <w:sz w:val="28"/>
          <w:szCs w:val="28"/>
        </w:rPr>
      </w:pPr>
    </w:p>
    <w:p w:rsidR="00F0113F" w:rsidRPr="00FD11FC" w:rsidRDefault="00F0113F" w:rsidP="00D3561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>. РАСЧЁТ ФИСКАЛЬНОЙ (НАЛОГОВОЙ) НАГРУЗКИ ПРЕДПРИЯТИЙ РЫБНОЙ ОТРАСЛИ ПО МЕТОДИКЕ КОМИССИИ РСПП ПО РЫБНОМУ ХОЗЯЙСТВУ И АКВАКУЛЬТУРЕ</w:t>
      </w:r>
    </w:p>
    <w:p w:rsidR="00F0113F" w:rsidRDefault="00F0113F" w:rsidP="00301FBA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0113F" w:rsidRPr="00301FBA" w:rsidRDefault="00F0113F" w:rsidP="00301FBA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Методологической основой исследования Комиссии РСПП по рыбному хозяйству и аквакультуре является научно-исследовательская работа аудиторско-консалтинговой компании ФБК </w:t>
      </w:r>
      <w:r>
        <w:rPr>
          <w:rFonts w:ascii="Times New Roman" w:hAnsi="Times New Roman"/>
          <w:sz w:val="28"/>
          <w:szCs w:val="28"/>
          <w:lang w:val="en-US"/>
        </w:rPr>
        <w:t>GrantThornton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F0113F" w:rsidRDefault="00F0113F" w:rsidP="004F12F1">
      <w:pPr>
        <w:widowControl w:val="0"/>
        <w:autoSpaceDE w:val="0"/>
        <w:autoSpaceDN w:val="0"/>
        <w:adjustRightInd w:val="0"/>
        <w:spacing w:after="36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Эксперты комиссии согласны с двумя важными методологическими замечаниями экспертов ФБК </w:t>
      </w:r>
      <w:r>
        <w:rPr>
          <w:rFonts w:ascii="Times New Roman" w:hAnsi="Times New Roman"/>
          <w:sz w:val="28"/>
          <w:szCs w:val="28"/>
          <w:lang w:val="en-US"/>
        </w:rPr>
        <w:t>GrantThornton</w:t>
      </w:r>
      <w:r w:rsidRPr="00FD11FC">
        <w:rPr>
          <w:rFonts w:ascii="Times New Roman" w:hAnsi="Times New Roman"/>
          <w:sz w:val="28"/>
          <w:szCs w:val="28"/>
        </w:rPr>
        <w:t>.</w:t>
      </w:r>
    </w:p>
    <w:p w:rsidR="00F0113F" w:rsidRDefault="00F0113F" w:rsidP="004F12F1">
      <w:pPr>
        <w:widowControl w:val="0"/>
        <w:autoSpaceDE w:val="0"/>
        <w:autoSpaceDN w:val="0"/>
        <w:adjustRightInd w:val="0"/>
        <w:spacing w:after="36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Во-первых, исключение из расчёта налоговой нагрузки сумм страховых взносов на обязательное пенсионное страхование, обязательное медицинское страхование и обязательное социальное страхование, искусственно занижающее расчётные показатели налоговой нагрузки. </w:t>
      </w:r>
    </w:p>
    <w:p w:rsidR="00F0113F" w:rsidRDefault="00F0113F" w:rsidP="004F12F1">
      <w:pPr>
        <w:widowControl w:val="0"/>
        <w:autoSpaceDE w:val="0"/>
        <w:autoSpaceDN w:val="0"/>
        <w:adjustRightInd w:val="0"/>
        <w:spacing w:after="36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Во-вторых, включение в расчёт НДФЛ, уплата которого не создаёт дополнительной нагрузки на предпринимателей ввиду того, что они являются только налоговым агентом, а фактически налог платят работники – физические лица, искусственно завышающее показатели налоговой нагрузки.</w:t>
      </w:r>
    </w:p>
    <w:p w:rsidR="00F0113F" w:rsidRDefault="00F0113F" w:rsidP="000C176A">
      <w:pPr>
        <w:widowControl w:val="0"/>
        <w:autoSpaceDE w:val="0"/>
        <w:autoSpaceDN w:val="0"/>
        <w:adjustRightInd w:val="0"/>
        <w:spacing w:after="36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F0113F" w:rsidRDefault="00F0113F" w:rsidP="006E10D0">
      <w:pPr>
        <w:widowControl w:val="0"/>
        <w:autoSpaceDE w:val="0"/>
        <w:autoSpaceDN w:val="0"/>
        <w:adjustRightInd w:val="0"/>
        <w:spacing w:after="3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4. Сумма налогов и сборов, поступивших в консолидированный бюджет Российской Федерации по виду деятельности «Рыболовство, рыбоводство» в 2005 – 2014 годах, в млн. рублей</w:t>
      </w:r>
      <w:r>
        <w:rPr>
          <w:rStyle w:val="FootnoteReference"/>
          <w:rFonts w:ascii="Times New Roman" w:hAnsi="Times New Roman"/>
          <w:sz w:val="28"/>
          <w:szCs w:val="28"/>
        </w:rPr>
        <w:footnoteReference w:id="6"/>
      </w:r>
    </w:p>
    <w:tbl>
      <w:tblPr>
        <w:tblW w:w="9764" w:type="dxa"/>
        <w:tblInd w:w="93" w:type="dxa"/>
        <w:tblLayout w:type="fixed"/>
        <w:tblLook w:val="00A0"/>
      </w:tblPr>
      <w:tblGrid>
        <w:gridCol w:w="2000"/>
        <w:gridCol w:w="700"/>
        <w:gridCol w:w="816"/>
        <w:gridCol w:w="816"/>
        <w:gridCol w:w="760"/>
        <w:gridCol w:w="760"/>
        <w:gridCol w:w="816"/>
        <w:gridCol w:w="760"/>
        <w:gridCol w:w="760"/>
        <w:gridCol w:w="760"/>
        <w:gridCol w:w="816"/>
      </w:tblGrid>
      <w:tr w:rsidR="00F0113F" w:rsidRPr="00A77117" w:rsidTr="008756C1">
        <w:trPr>
          <w:trHeight w:val="31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13F" w:rsidRPr="00F41759" w:rsidRDefault="00F0113F" w:rsidP="00F4175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41759">
              <w:rPr>
                <w:rFonts w:ascii="Times New Roman" w:hAnsi="Times New Roman"/>
                <w:color w:val="000000"/>
                <w:sz w:val="22"/>
                <w:szCs w:val="22"/>
              </w:rPr>
              <w:t>Показатель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13F" w:rsidRPr="00F41759" w:rsidRDefault="00F0113F" w:rsidP="00F4175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41759">
              <w:rPr>
                <w:rFonts w:ascii="Times New Roman" w:hAnsi="Times New Roman"/>
                <w:color w:val="000000"/>
                <w:sz w:val="22"/>
                <w:szCs w:val="22"/>
              </w:rPr>
              <w:t>2005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13F" w:rsidRPr="00F41759" w:rsidRDefault="00F0113F" w:rsidP="00F4175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41759">
              <w:rPr>
                <w:rFonts w:ascii="Times New Roman" w:hAnsi="Times New Roman"/>
                <w:color w:val="000000"/>
                <w:sz w:val="22"/>
                <w:szCs w:val="22"/>
              </w:rPr>
              <w:t>2006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13F" w:rsidRPr="00F41759" w:rsidRDefault="00F0113F" w:rsidP="00F4175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41759">
              <w:rPr>
                <w:rFonts w:ascii="Times New Roman" w:hAnsi="Times New Roman"/>
                <w:color w:val="000000"/>
                <w:sz w:val="22"/>
                <w:szCs w:val="22"/>
              </w:rPr>
              <w:t>2007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13F" w:rsidRPr="00F41759" w:rsidRDefault="00F0113F" w:rsidP="00F4175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41759">
              <w:rPr>
                <w:rFonts w:ascii="Times New Roman" w:hAnsi="Times New Roman"/>
                <w:color w:val="000000"/>
                <w:sz w:val="22"/>
                <w:szCs w:val="22"/>
              </w:rPr>
              <w:t>2008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13F" w:rsidRPr="00F41759" w:rsidRDefault="00F0113F" w:rsidP="00F4175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41759">
              <w:rPr>
                <w:rFonts w:ascii="Times New Roman" w:hAnsi="Times New Roman"/>
                <w:color w:val="000000"/>
                <w:sz w:val="22"/>
                <w:szCs w:val="22"/>
              </w:rPr>
              <w:t>2009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13F" w:rsidRPr="00F41759" w:rsidRDefault="00F0113F" w:rsidP="00F4175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41759">
              <w:rPr>
                <w:rFonts w:ascii="Times New Roman" w:hAnsi="Times New Roman"/>
                <w:color w:val="000000"/>
                <w:sz w:val="22"/>
                <w:szCs w:val="22"/>
              </w:rPr>
              <w:t>2010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13F" w:rsidRPr="00F41759" w:rsidRDefault="00F0113F" w:rsidP="00F4175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41759">
              <w:rPr>
                <w:rFonts w:ascii="Times New Roman" w:hAnsi="Times New Roman"/>
                <w:color w:val="000000"/>
                <w:sz w:val="22"/>
                <w:szCs w:val="22"/>
              </w:rPr>
              <w:t>2011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13F" w:rsidRPr="00F41759" w:rsidRDefault="00F0113F" w:rsidP="00F4175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41759">
              <w:rPr>
                <w:rFonts w:ascii="Times New Roman" w:hAnsi="Times New Roman"/>
                <w:color w:val="000000"/>
                <w:sz w:val="22"/>
                <w:szCs w:val="22"/>
              </w:rPr>
              <w:t>2012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13F" w:rsidRPr="00F41759" w:rsidRDefault="00F0113F" w:rsidP="00F4175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41759">
              <w:rPr>
                <w:rFonts w:ascii="Times New Roman" w:hAnsi="Times New Roman"/>
                <w:color w:val="000000"/>
                <w:sz w:val="22"/>
                <w:szCs w:val="22"/>
              </w:rPr>
              <w:t>2013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13F" w:rsidRPr="00F41759" w:rsidRDefault="00F0113F" w:rsidP="00F4175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41759">
              <w:rPr>
                <w:rFonts w:ascii="Times New Roman" w:hAnsi="Times New Roman"/>
                <w:color w:val="000000"/>
                <w:sz w:val="22"/>
                <w:szCs w:val="22"/>
              </w:rPr>
              <w:t>2014</w:t>
            </w:r>
          </w:p>
        </w:tc>
      </w:tr>
      <w:tr w:rsidR="00F0113F" w:rsidRPr="00A77117" w:rsidTr="008756C1">
        <w:trPr>
          <w:trHeight w:val="63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3F" w:rsidRPr="00F41759" w:rsidRDefault="00F0113F" w:rsidP="00F4175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41759">
              <w:rPr>
                <w:rFonts w:ascii="Times New Roman" w:hAnsi="Times New Roman"/>
                <w:color w:val="000000"/>
                <w:sz w:val="22"/>
                <w:szCs w:val="22"/>
              </w:rPr>
              <w:t>Поступило  платежей в консолидированный бюджет Российской Федерации, всего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13F" w:rsidRPr="00F41759" w:rsidRDefault="00F0113F" w:rsidP="00F4175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41759">
              <w:rPr>
                <w:rFonts w:ascii="Times New Roman" w:hAnsi="Times New Roman"/>
                <w:color w:val="000000"/>
                <w:sz w:val="22"/>
                <w:szCs w:val="22"/>
              </w:rPr>
              <w:t>9450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13F" w:rsidRPr="00F41759" w:rsidRDefault="00F0113F" w:rsidP="00F4175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41759">
              <w:rPr>
                <w:rFonts w:ascii="Times New Roman" w:hAnsi="Times New Roman"/>
                <w:color w:val="000000"/>
                <w:sz w:val="22"/>
                <w:szCs w:val="22"/>
              </w:rPr>
              <w:t>11497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13F" w:rsidRPr="00F41759" w:rsidRDefault="00F0113F" w:rsidP="00F4175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41759">
              <w:rPr>
                <w:rFonts w:ascii="Times New Roman" w:hAnsi="Times New Roman"/>
                <w:color w:val="000000"/>
                <w:sz w:val="22"/>
                <w:szCs w:val="22"/>
              </w:rPr>
              <w:t>12843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13F" w:rsidRPr="00F41759" w:rsidRDefault="00F0113F" w:rsidP="00F4175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41759">
              <w:rPr>
                <w:rFonts w:ascii="Times New Roman" w:hAnsi="Times New Roman"/>
                <w:color w:val="000000"/>
                <w:sz w:val="22"/>
                <w:szCs w:val="22"/>
              </w:rPr>
              <w:t>8341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13F" w:rsidRPr="00F41759" w:rsidRDefault="00F0113F" w:rsidP="00F4175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41759">
              <w:rPr>
                <w:rFonts w:ascii="Times New Roman" w:hAnsi="Times New Roman"/>
                <w:color w:val="000000"/>
                <w:sz w:val="22"/>
                <w:szCs w:val="22"/>
              </w:rPr>
              <w:t>8807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13F" w:rsidRPr="00F41759" w:rsidRDefault="00F0113F" w:rsidP="00F4175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41759">
              <w:rPr>
                <w:rFonts w:ascii="Times New Roman" w:hAnsi="Times New Roman"/>
                <w:color w:val="000000"/>
                <w:sz w:val="22"/>
                <w:szCs w:val="22"/>
              </w:rPr>
              <w:t>10094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13F" w:rsidRPr="00F41759" w:rsidRDefault="00F0113F" w:rsidP="00F4175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41759">
              <w:rPr>
                <w:rFonts w:ascii="Times New Roman" w:hAnsi="Times New Roman"/>
                <w:color w:val="000000"/>
                <w:sz w:val="22"/>
                <w:szCs w:val="22"/>
              </w:rPr>
              <w:t>9818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13F" w:rsidRPr="00F41759" w:rsidRDefault="00F0113F" w:rsidP="00F4175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41759">
              <w:rPr>
                <w:rFonts w:ascii="Times New Roman" w:hAnsi="Times New Roman"/>
                <w:color w:val="000000"/>
                <w:sz w:val="22"/>
                <w:szCs w:val="22"/>
              </w:rPr>
              <w:t>9717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13F" w:rsidRPr="00F41759" w:rsidRDefault="00F0113F" w:rsidP="00F4175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41759">
              <w:rPr>
                <w:rFonts w:ascii="Times New Roman" w:hAnsi="Times New Roman"/>
                <w:color w:val="000000"/>
                <w:sz w:val="22"/>
                <w:szCs w:val="22"/>
              </w:rPr>
              <w:t>9110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13F" w:rsidRPr="00F41759" w:rsidRDefault="00F0113F" w:rsidP="00F4175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41759">
              <w:rPr>
                <w:rFonts w:ascii="Times New Roman" w:hAnsi="Times New Roman"/>
                <w:color w:val="000000"/>
                <w:sz w:val="22"/>
                <w:szCs w:val="22"/>
              </w:rPr>
              <w:t>10497</w:t>
            </w:r>
          </w:p>
        </w:tc>
      </w:tr>
      <w:tr w:rsidR="00F0113F" w:rsidRPr="00A77117" w:rsidTr="008756C1">
        <w:trPr>
          <w:trHeight w:val="31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13F" w:rsidRPr="00F41759" w:rsidRDefault="00F0113F" w:rsidP="00F4175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41759">
              <w:rPr>
                <w:rFonts w:ascii="Times New Roman" w:hAnsi="Times New Roman"/>
                <w:color w:val="000000"/>
                <w:sz w:val="22"/>
                <w:szCs w:val="22"/>
              </w:rPr>
              <w:t>в том числе</w:t>
            </w:r>
          </w:p>
        </w:tc>
        <w:tc>
          <w:tcPr>
            <w:tcW w:w="776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0113F" w:rsidRPr="00F41759" w:rsidRDefault="00F0113F" w:rsidP="00F4175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41759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F0113F" w:rsidRPr="00A77117" w:rsidTr="008756C1">
        <w:trPr>
          <w:trHeight w:val="31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13F" w:rsidRPr="00F41759" w:rsidRDefault="00F0113F" w:rsidP="00F4175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41759">
              <w:rPr>
                <w:rFonts w:ascii="Times New Roman" w:hAnsi="Times New Roman"/>
                <w:color w:val="000000"/>
                <w:sz w:val="22"/>
                <w:szCs w:val="22"/>
              </w:rPr>
              <w:t>налог на прибыль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13F" w:rsidRPr="00F41759" w:rsidRDefault="00F0113F" w:rsidP="00F4175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41759">
              <w:rPr>
                <w:rFonts w:ascii="Times New Roman" w:hAnsi="Times New Roman"/>
                <w:color w:val="000000"/>
                <w:sz w:val="22"/>
                <w:szCs w:val="22"/>
              </w:rPr>
              <w:t>1073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13F" w:rsidRPr="00F41759" w:rsidRDefault="00F0113F" w:rsidP="00F4175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41759">
              <w:rPr>
                <w:rFonts w:ascii="Times New Roman" w:hAnsi="Times New Roman"/>
                <w:color w:val="000000"/>
                <w:sz w:val="22"/>
                <w:szCs w:val="22"/>
              </w:rPr>
              <w:t>1282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13F" w:rsidRPr="00F41759" w:rsidRDefault="00F0113F" w:rsidP="00F4175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41759">
              <w:rPr>
                <w:rFonts w:ascii="Times New Roman" w:hAnsi="Times New Roman"/>
                <w:color w:val="000000"/>
                <w:sz w:val="22"/>
                <w:szCs w:val="22"/>
              </w:rPr>
              <w:t>1502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13F" w:rsidRPr="00F41759" w:rsidRDefault="00F0113F" w:rsidP="00F4175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41759">
              <w:rPr>
                <w:rFonts w:ascii="Times New Roman" w:hAnsi="Times New Roman"/>
                <w:color w:val="000000"/>
                <w:sz w:val="22"/>
                <w:szCs w:val="22"/>
              </w:rPr>
              <w:t>1639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13F" w:rsidRPr="00F41759" w:rsidRDefault="00F0113F" w:rsidP="00F4175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41759">
              <w:rPr>
                <w:rFonts w:ascii="Times New Roman" w:hAnsi="Times New Roman"/>
                <w:color w:val="000000"/>
                <w:sz w:val="22"/>
                <w:szCs w:val="22"/>
              </w:rPr>
              <w:t>1355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13F" w:rsidRPr="00F41759" w:rsidRDefault="00F0113F" w:rsidP="00F4175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41759">
              <w:rPr>
                <w:rFonts w:ascii="Times New Roman" w:hAnsi="Times New Roman"/>
                <w:color w:val="000000"/>
                <w:sz w:val="22"/>
                <w:szCs w:val="22"/>
              </w:rPr>
              <w:t>1946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13F" w:rsidRPr="00F41759" w:rsidRDefault="00F0113F" w:rsidP="00F4175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41759">
              <w:rPr>
                <w:rFonts w:ascii="Times New Roman" w:hAnsi="Times New Roman"/>
                <w:color w:val="000000"/>
                <w:sz w:val="22"/>
                <w:szCs w:val="22"/>
              </w:rPr>
              <w:t>1499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13F" w:rsidRPr="00F41759" w:rsidRDefault="00F0113F" w:rsidP="00F4175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41759">
              <w:rPr>
                <w:rFonts w:ascii="Times New Roman" w:hAnsi="Times New Roman"/>
                <w:color w:val="000000"/>
                <w:sz w:val="22"/>
                <w:szCs w:val="22"/>
              </w:rPr>
              <w:t>1624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13F" w:rsidRPr="00F41759" w:rsidRDefault="00F0113F" w:rsidP="00F4175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41759">
              <w:rPr>
                <w:rFonts w:ascii="Times New Roman" w:hAnsi="Times New Roman"/>
                <w:color w:val="000000"/>
                <w:sz w:val="22"/>
                <w:szCs w:val="22"/>
              </w:rPr>
              <w:t>1146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13F" w:rsidRPr="00F41759" w:rsidRDefault="00F0113F" w:rsidP="00F4175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41759">
              <w:rPr>
                <w:rFonts w:ascii="Times New Roman" w:hAnsi="Times New Roman"/>
                <w:color w:val="000000"/>
                <w:sz w:val="22"/>
                <w:szCs w:val="22"/>
              </w:rPr>
              <w:t>1039</w:t>
            </w:r>
          </w:p>
        </w:tc>
      </w:tr>
      <w:tr w:rsidR="00F0113F" w:rsidRPr="00A77117" w:rsidTr="008756C1">
        <w:trPr>
          <w:trHeight w:val="31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13F" w:rsidRPr="00F41759" w:rsidRDefault="00F0113F" w:rsidP="00F4175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41759">
              <w:rPr>
                <w:rFonts w:ascii="Times New Roman" w:hAnsi="Times New Roman"/>
                <w:color w:val="000000"/>
                <w:sz w:val="22"/>
                <w:szCs w:val="22"/>
              </w:rPr>
              <w:t>налог на имущество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13F" w:rsidRPr="00F41759" w:rsidRDefault="00F0113F" w:rsidP="00F4175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41759">
              <w:rPr>
                <w:rFonts w:ascii="Times New Roman" w:hAnsi="Times New Roman"/>
                <w:color w:val="000000"/>
                <w:sz w:val="22"/>
                <w:szCs w:val="22"/>
              </w:rPr>
              <w:t>451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13F" w:rsidRPr="00F41759" w:rsidRDefault="00F0113F" w:rsidP="00F4175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41759">
              <w:rPr>
                <w:rFonts w:ascii="Times New Roman" w:hAnsi="Times New Roman"/>
                <w:color w:val="000000"/>
                <w:sz w:val="22"/>
                <w:szCs w:val="22"/>
              </w:rPr>
              <w:t>587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13F" w:rsidRPr="00F41759" w:rsidRDefault="00F0113F" w:rsidP="00F4175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41759">
              <w:rPr>
                <w:rFonts w:ascii="Times New Roman" w:hAnsi="Times New Roman"/>
                <w:color w:val="000000"/>
                <w:sz w:val="22"/>
                <w:szCs w:val="22"/>
              </w:rPr>
              <w:t>617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13F" w:rsidRPr="00F41759" w:rsidRDefault="00F0113F" w:rsidP="00F4175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41759">
              <w:rPr>
                <w:rFonts w:ascii="Times New Roman" w:hAnsi="Times New Roman"/>
                <w:color w:val="000000"/>
                <w:sz w:val="22"/>
                <w:szCs w:val="22"/>
              </w:rPr>
              <w:t>876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13F" w:rsidRPr="00F41759" w:rsidRDefault="00F0113F" w:rsidP="00F4175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41759">
              <w:rPr>
                <w:rFonts w:ascii="Times New Roman" w:hAnsi="Times New Roman"/>
                <w:color w:val="000000"/>
                <w:sz w:val="22"/>
                <w:szCs w:val="22"/>
              </w:rPr>
              <w:t>615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13F" w:rsidRPr="00F41759" w:rsidRDefault="00F0113F" w:rsidP="00F4175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41759">
              <w:rPr>
                <w:rFonts w:ascii="Times New Roman" w:hAnsi="Times New Roman"/>
                <w:color w:val="000000"/>
                <w:sz w:val="22"/>
                <w:szCs w:val="22"/>
              </w:rPr>
              <w:t>612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13F" w:rsidRPr="00F41759" w:rsidRDefault="00F0113F" w:rsidP="00F4175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41759">
              <w:rPr>
                <w:rFonts w:ascii="Times New Roman" w:hAnsi="Times New Roman"/>
                <w:color w:val="000000"/>
                <w:sz w:val="22"/>
                <w:szCs w:val="22"/>
              </w:rPr>
              <w:t>427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13F" w:rsidRPr="00F41759" w:rsidRDefault="00F0113F" w:rsidP="00F4175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41759">
              <w:rPr>
                <w:rFonts w:ascii="Times New Roman" w:hAnsi="Times New Roman"/>
                <w:color w:val="000000"/>
                <w:sz w:val="22"/>
                <w:szCs w:val="22"/>
              </w:rPr>
              <w:t>434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13F" w:rsidRPr="00F41759" w:rsidRDefault="00F0113F" w:rsidP="00F4175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41759">
              <w:rPr>
                <w:rFonts w:ascii="Times New Roman" w:hAnsi="Times New Roman"/>
                <w:color w:val="000000"/>
                <w:sz w:val="22"/>
                <w:szCs w:val="22"/>
              </w:rPr>
              <w:t>449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13F" w:rsidRPr="00F41759" w:rsidRDefault="00F0113F" w:rsidP="00F4175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41759">
              <w:rPr>
                <w:rFonts w:ascii="Times New Roman" w:hAnsi="Times New Roman"/>
                <w:color w:val="000000"/>
                <w:sz w:val="22"/>
                <w:szCs w:val="22"/>
              </w:rPr>
              <w:t>571</w:t>
            </w:r>
          </w:p>
        </w:tc>
      </w:tr>
      <w:tr w:rsidR="00F0113F" w:rsidRPr="00A77117" w:rsidTr="00CD7766">
        <w:trPr>
          <w:trHeight w:val="31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13F" w:rsidRPr="00CD7766" w:rsidRDefault="00F0113F" w:rsidP="00F4175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D7766">
              <w:rPr>
                <w:rFonts w:ascii="Times New Roman" w:hAnsi="Times New Roman"/>
                <w:color w:val="000000"/>
                <w:sz w:val="22"/>
                <w:szCs w:val="22"/>
              </w:rPr>
              <w:t>Налоги, предусмотренные специальными налоговыми режимами (ЕСХН)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13F" w:rsidRPr="00CD7766" w:rsidRDefault="00F0113F" w:rsidP="00F4175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13F" w:rsidRPr="00CD7766" w:rsidRDefault="00F0113F" w:rsidP="00CD776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7117">
              <w:rPr>
                <w:rFonts w:ascii="Times New Roman" w:hAnsi="Times New Roman"/>
                <w:sz w:val="22"/>
                <w:szCs w:val="22"/>
              </w:rPr>
              <w:t>141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13F" w:rsidRPr="00CD7766" w:rsidRDefault="00F0113F" w:rsidP="00CD776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7117">
              <w:rPr>
                <w:rFonts w:ascii="Times New Roman" w:hAnsi="Times New Roman"/>
                <w:sz w:val="22"/>
                <w:szCs w:val="22"/>
              </w:rPr>
              <w:t>261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13F" w:rsidRPr="00CD7766" w:rsidRDefault="00F0113F" w:rsidP="00CD776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7117">
              <w:rPr>
                <w:rFonts w:ascii="Times New Roman" w:hAnsi="Times New Roman"/>
                <w:sz w:val="22"/>
                <w:szCs w:val="22"/>
              </w:rPr>
              <w:t>303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13F" w:rsidRPr="00CD7766" w:rsidRDefault="00F0113F" w:rsidP="00CD776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7117">
              <w:rPr>
                <w:rFonts w:ascii="Times New Roman" w:hAnsi="Times New Roman"/>
                <w:sz w:val="22"/>
                <w:szCs w:val="22"/>
              </w:rPr>
              <w:t>313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13F" w:rsidRPr="00CD7766" w:rsidRDefault="00F0113F" w:rsidP="00CD776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7117">
              <w:rPr>
                <w:rFonts w:ascii="Times New Roman" w:hAnsi="Times New Roman"/>
                <w:sz w:val="22"/>
                <w:szCs w:val="22"/>
              </w:rPr>
              <w:t>762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13F" w:rsidRPr="00CD7766" w:rsidRDefault="00F0113F" w:rsidP="00CD776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7117">
              <w:rPr>
                <w:rFonts w:ascii="Times New Roman" w:hAnsi="Times New Roman"/>
                <w:sz w:val="22"/>
                <w:szCs w:val="22"/>
              </w:rPr>
              <w:t>1103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13F" w:rsidRPr="00CD7766" w:rsidRDefault="00F0113F" w:rsidP="00CD776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7117">
              <w:rPr>
                <w:rFonts w:ascii="Times New Roman" w:hAnsi="Times New Roman"/>
                <w:sz w:val="22"/>
                <w:szCs w:val="22"/>
              </w:rPr>
              <w:t>1110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13F" w:rsidRPr="00CD7766" w:rsidRDefault="00F0113F" w:rsidP="00CD776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7117">
              <w:rPr>
                <w:rFonts w:ascii="Times New Roman" w:hAnsi="Times New Roman"/>
                <w:sz w:val="22"/>
                <w:szCs w:val="22"/>
              </w:rPr>
              <w:t>1151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13F" w:rsidRPr="00CD7766" w:rsidRDefault="00F0113F" w:rsidP="00CD776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7117">
              <w:rPr>
                <w:rFonts w:ascii="Times New Roman" w:hAnsi="Times New Roman"/>
                <w:sz w:val="22"/>
                <w:szCs w:val="22"/>
              </w:rPr>
              <w:t>1612</w:t>
            </w:r>
          </w:p>
        </w:tc>
      </w:tr>
      <w:tr w:rsidR="00F0113F" w:rsidRPr="00A77117" w:rsidTr="008756C1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13F" w:rsidRPr="00F41759" w:rsidRDefault="00F0113F" w:rsidP="00F4175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41759">
              <w:rPr>
                <w:rFonts w:ascii="Times New Roman" w:hAnsi="Times New Roman"/>
                <w:color w:val="000000"/>
                <w:sz w:val="22"/>
                <w:szCs w:val="22"/>
              </w:rPr>
              <w:t>НДФЛ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13F" w:rsidRPr="00F41759" w:rsidRDefault="00F0113F" w:rsidP="00F4175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41759">
              <w:rPr>
                <w:rFonts w:ascii="Times New Roman" w:hAnsi="Times New Roman"/>
                <w:color w:val="000000"/>
                <w:sz w:val="22"/>
                <w:szCs w:val="22"/>
              </w:rPr>
              <w:t>н/д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13F" w:rsidRPr="00F41759" w:rsidRDefault="00F0113F" w:rsidP="00F4175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41759">
              <w:rPr>
                <w:rFonts w:ascii="Times New Roman" w:hAnsi="Times New Roman"/>
                <w:color w:val="000000"/>
                <w:sz w:val="22"/>
                <w:szCs w:val="22"/>
              </w:rPr>
              <w:t>2108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13F" w:rsidRPr="00F41759" w:rsidRDefault="00F0113F" w:rsidP="00F4175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41759">
              <w:rPr>
                <w:rFonts w:ascii="Times New Roman" w:hAnsi="Times New Roman"/>
                <w:color w:val="000000"/>
                <w:sz w:val="22"/>
                <w:szCs w:val="22"/>
              </w:rPr>
              <w:t>2469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13F" w:rsidRPr="00F41759" w:rsidRDefault="00F0113F" w:rsidP="00F4175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41759">
              <w:rPr>
                <w:rFonts w:ascii="Times New Roman" w:hAnsi="Times New Roman"/>
                <w:color w:val="000000"/>
                <w:sz w:val="22"/>
                <w:szCs w:val="22"/>
              </w:rPr>
              <w:t>2960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13F" w:rsidRPr="00F41759" w:rsidRDefault="00F0113F" w:rsidP="00F4175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41759">
              <w:rPr>
                <w:rFonts w:ascii="Times New Roman" w:hAnsi="Times New Roman"/>
                <w:color w:val="000000"/>
                <w:sz w:val="22"/>
                <w:szCs w:val="22"/>
              </w:rPr>
              <w:t>3426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13F" w:rsidRPr="00F41759" w:rsidRDefault="00F0113F" w:rsidP="00F4175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41759">
              <w:rPr>
                <w:rFonts w:ascii="Times New Roman" w:hAnsi="Times New Roman"/>
                <w:color w:val="000000"/>
                <w:sz w:val="22"/>
                <w:szCs w:val="22"/>
              </w:rPr>
              <w:t>3984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13F" w:rsidRPr="00F41759" w:rsidRDefault="00F0113F" w:rsidP="00F4175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41759">
              <w:rPr>
                <w:rFonts w:ascii="Times New Roman" w:hAnsi="Times New Roman"/>
                <w:color w:val="000000"/>
                <w:sz w:val="22"/>
                <w:szCs w:val="22"/>
              </w:rPr>
              <w:t>4248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13F" w:rsidRPr="00F41759" w:rsidRDefault="00F0113F" w:rsidP="00F4175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41759">
              <w:rPr>
                <w:rFonts w:ascii="Times New Roman" w:hAnsi="Times New Roman"/>
                <w:color w:val="000000"/>
                <w:sz w:val="22"/>
                <w:szCs w:val="22"/>
              </w:rPr>
              <w:t>4430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13F" w:rsidRPr="00F41759" w:rsidRDefault="00F0113F" w:rsidP="00F4175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41759">
              <w:rPr>
                <w:rFonts w:ascii="Times New Roman" w:hAnsi="Times New Roman"/>
                <w:color w:val="000000"/>
                <w:sz w:val="22"/>
                <w:szCs w:val="22"/>
              </w:rPr>
              <w:t>4593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13F" w:rsidRPr="00F41759" w:rsidRDefault="00F0113F" w:rsidP="00F4175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41759">
              <w:rPr>
                <w:rFonts w:ascii="Times New Roman" w:hAnsi="Times New Roman"/>
                <w:color w:val="000000"/>
                <w:sz w:val="22"/>
                <w:szCs w:val="22"/>
              </w:rPr>
              <w:t>5236</w:t>
            </w:r>
          </w:p>
        </w:tc>
      </w:tr>
      <w:tr w:rsidR="00F0113F" w:rsidRPr="00A77117" w:rsidTr="008756C1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13F" w:rsidRPr="00F41759" w:rsidRDefault="00F0113F" w:rsidP="00F4175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41759">
              <w:rPr>
                <w:rFonts w:ascii="Times New Roman" w:hAnsi="Times New Roman"/>
                <w:color w:val="000000"/>
                <w:sz w:val="22"/>
                <w:szCs w:val="22"/>
              </w:rPr>
              <w:t>Сбор за пользование ВБР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13F" w:rsidRPr="00F41759" w:rsidRDefault="00F0113F" w:rsidP="00F4175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41759">
              <w:rPr>
                <w:rFonts w:ascii="Times New Roman" w:hAnsi="Times New Roman"/>
                <w:color w:val="000000"/>
                <w:sz w:val="22"/>
                <w:szCs w:val="22"/>
              </w:rPr>
              <w:t>н/д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13F" w:rsidRPr="00F41759" w:rsidRDefault="00F0113F" w:rsidP="00F4175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41759">
              <w:rPr>
                <w:rFonts w:ascii="Times New Roman" w:hAnsi="Times New Roman"/>
                <w:color w:val="000000"/>
                <w:sz w:val="22"/>
                <w:szCs w:val="22"/>
              </w:rPr>
              <w:t>6777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13F" w:rsidRPr="00F41759" w:rsidRDefault="00F0113F" w:rsidP="00F4175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41759">
              <w:rPr>
                <w:rFonts w:ascii="Times New Roman" w:hAnsi="Times New Roman"/>
                <w:color w:val="000000"/>
                <w:sz w:val="22"/>
                <w:szCs w:val="22"/>
              </w:rPr>
              <w:t>6979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13F" w:rsidRPr="00F41759" w:rsidRDefault="00F0113F" w:rsidP="00F4175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41759">
              <w:rPr>
                <w:rFonts w:ascii="Times New Roman" w:hAnsi="Times New Roman"/>
                <w:color w:val="000000"/>
                <w:sz w:val="22"/>
                <w:szCs w:val="22"/>
              </w:rPr>
              <w:t>1798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13F" w:rsidRPr="00F41759" w:rsidRDefault="00F0113F" w:rsidP="00F4175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41759">
              <w:rPr>
                <w:rFonts w:ascii="Times New Roman" w:hAnsi="Times New Roman"/>
                <w:color w:val="000000"/>
                <w:sz w:val="22"/>
                <w:szCs w:val="22"/>
              </w:rPr>
              <w:t>1734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13F" w:rsidRPr="00F41759" w:rsidRDefault="00F0113F" w:rsidP="00F4175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41759">
              <w:rPr>
                <w:rFonts w:ascii="Times New Roman" w:hAnsi="Times New Roman"/>
                <w:color w:val="000000"/>
                <w:sz w:val="22"/>
                <w:szCs w:val="22"/>
              </w:rPr>
              <w:t>1812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13F" w:rsidRPr="00F41759" w:rsidRDefault="00F0113F" w:rsidP="00F4175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41759">
              <w:rPr>
                <w:rFonts w:ascii="Times New Roman" w:hAnsi="Times New Roman"/>
                <w:color w:val="000000"/>
                <w:sz w:val="22"/>
                <w:szCs w:val="22"/>
              </w:rPr>
              <w:t>1785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13F" w:rsidRPr="00F41759" w:rsidRDefault="00F0113F" w:rsidP="00F4175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41759">
              <w:rPr>
                <w:rFonts w:ascii="Times New Roman" w:hAnsi="Times New Roman"/>
                <w:color w:val="000000"/>
                <w:sz w:val="22"/>
                <w:szCs w:val="22"/>
              </w:rPr>
              <w:t>1779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13F" w:rsidRPr="00F41759" w:rsidRDefault="00F0113F" w:rsidP="00F4175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41759">
              <w:rPr>
                <w:rFonts w:ascii="Times New Roman" w:hAnsi="Times New Roman"/>
                <w:color w:val="000000"/>
                <w:sz w:val="22"/>
                <w:szCs w:val="22"/>
              </w:rPr>
              <w:t>1765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13F" w:rsidRPr="00F41759" w:rsidRDefault="00F0113F" w:rsidP="00F4175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41759">
              <w:rPr>
                <w:rFonts w:ascii="Times New Roman" w:hAnsi="Times New Roman"/>
                <w:color w:val="000000"/>
                <w:sz w:val="22"/>
                <w:szCs w:val="22"/>
              </w:rPr>
              <w:t>1861</w:t>
            </w:r>
          </w:p>
        </w:tc>
      </w:tr>
    </w:tbl>
    <w:p w:rsidR="00F0113F" w:rsidRDefault="00F0113F" w:rsidP="000C176A">
      <w:pPr>
        <w:widowControl w:val="0"/>
        <w:autoSpaceDE w:val="0"/>
        <w:autoSpaceDN w:val="0"/>
        <w:adjustRightInd w:val="0"/>
        <w:spacing w:after="360"/>
        <w:ind w:firstLine="708"/>
        <w:contextualSpacing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F0113F" w:rsidRDefault="00F0113F" w:rsidP="004F12F1">
      <w:pPr>
        <w:widowControl w:val="0"/>
        <w:autoSpaceDE w:val="0"/>
        <w:autoSpaceDN w:val="0"/>
        <w:adjustRightInd w:val="0"/>
        <w:spacing w:after="36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Эксперты комиссии посчитали необходимым дополнить показатель фискальной (налоговой) нагрузки таможенными платежами. В исследовании ФБК </w:t>
      </w:r>
      <w:r>
        <w:rPr>
          <w:rFonts w:ascii="Times New Roman" w:hAnsi="Times New Roman"/>
          <w:sz w:val="28"/>
          <w:szCs w:val="28"/>
          <w:lang w:val="en-US"/>
        </w:rPr>
        <w:t>GrantThornton</w:t>
      </w:r>
      <w:r w:rsidRPr="00FD11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соответствующие данные не приводились, так как отсутствовала информация об объёме таможенных платежей по видам экономической деятельности. Комиссия РСПП по рыбному хозяйству и аквакультуре необходимыми информационными данными располагала, так как информация об объёме таможенных платежей предприятий по виду экономической деятельности «Рыболовство, рыбоводство» была направлена ФТС в рабочую группу по подготовке заседания президиума Государственного совета Российской Федерации «О развитии рыбохозяйственного комплекса Российской Федерации».  </w:t>
      </w:r>
    </w:p>
    <w:p w:rsidR="00F0113F" w:rsidRDefault="00F0113F" w:rsidP="004F12F1">
      <w:pPr>
        <w:widowControl w:val="0"/>
        <w:autoSpaceDE w:val="0"/>
        <w:autoSpaceDN w:val="0"/>
        <w:adjustRightInd w:val="0"/>
        <w:spacing w:after="36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F0113F" w:rsidRDefault="00F0113F" w:rsidP="00301FB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График 1</w:t>
      </w:r>
      <w:r>
        <w:rPr>
          <w:rStyle w:val="FootnoteReference"/>
          <w:rFonts w:ascii="Times New Roman" w:hAnsi="Times New Roman"/>
          <w:sz w:val="28"/>
          <w:szCs w:val="28"/>
        </w:rPr>
        <w:footnoteReference w:id="7"/>
      </w:r>
    </w:p>
    <w:p w:rsidR="00F0113F" w:rsidRPr="005D704C" w:rsidRDefault="00F0113F" w:rsidP="00946D7F">
      <w:pPr>
        <w:widowControl w:val="0"/>
        <w:autoSpaceDE w:val="0"/>
        <w:autoSpaceDN w:val="0"/>
        <w:adjustRightInd w:val="0"/>
        <w:spacing w:after="360"/>
        <w:contextualSpacing/>
        <w:jc w:val="both"/>
        <w:rPr>
          <w:rFonts w:ascii="Times New Roman" w:hAnsi="Times New Roman"/>
          <w:sz w:val="28"/>
          <w:szCs w:val="28"/>
        </w:rPr>
      </w:pPr>
      <w:r w:rsidRPr="00C87E82">
        <w:rPr>
          <w:noProof/>
        </w:rPr>
        <w:object w:dxaOrig="9380" w:dyaOrig="61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Диаграмма 2" o:spid="_x0000_i1025" type="#_x0000_t75" style="width:469.3pt;height:307.3pt;visibility:visible" o:ole="">
            <v:imagedata r:id="rId8" o:title=""/>
            <o:lock v:ext="edit" aspectratio="f"/>
          </v:shape>
          <o:OLEObject Type="Embed" ProgID="Excel.Chart.8" ShapeID="Диаграмма 2" DrawAspect="Content" ObjectID="_1520932571" r:id="rId9"/>
        </w:object>
      </w:r>
    </w:p>
    <w:p w:rsidR="00F0113F" w:rsidRPr="008A54DF" w:rsidRDefault="00F0113F" w:rsidP="000C176A">
      <w:pPr>
        <w:widowControl w:val="0"/>
        <w:autoSpaceDE w:val="0"/>
        <w:autoSpaceDN w:val="0"/>
        <w:adjustRightInd w:val="0"/>
        <w:spacing w:after="360"/>
        <w:ind w:firstLine="708"/>
        <w:contextualSpacing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F0113F" w:rsidRPr="00CB6075" w:rsidRDefault="00F0113F" w:rsidP="006E10D0">
      <w:pPr>
        <w:widowControl w:val="0"/>
        <w:autoSpaceDE w:val="0"/>
        <w:autoSpaceDN w:val="0"/>
        <w:adjustRightInd w:val="0"/>
        <w:spacing w:after="3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5</w:t>
      </w:r>
      <w:r w:rsidRPr="00301FBA">
        <w:rPr>
          <w:rFonts w:ascii="Times New Roman" w:hAnsi="Times New Roman"/>
          <w:sz w:val="28"/>
          <w:szCs w:val="28"/>
        </w:rPr>
        <w:t>. Расчёт фискальных (налоговых) платежей</w:t>
      </w:r>
      <w:r>
        <w:rPr>
          <w:rStyle w:val="FootnoteReference"/>
          <w:rFonts w:ascii="Times New Roman" w:hAnsi="Times New Roman"/>
          <w:sz w:val="28"/>
          <w:szCs w:val="28"/>
        </w:rPr>
        <w:footnoteReference w:id="8"/>
      </w:r>
      <w:r>
        <w:rPr>
          <w:rFonts w:ascii="Times New Roman" w:hAnsi="Times New Roman"/>
          <w:sz w:val="28"/>
          <w:szCs w:val="28"/>
        </w:rPr>
        <w:t>с учётом таможенных платежей</w:t>
      </w:r>
    </w:p>
    <w:tbl>
      <w:tblPr>
        <w:tblW w:w="9370" w:type="dxa"/>
        <w:tblInd w:w="93" w:type="dxa"/>
        <w:tblLook w:val="00A0"/>
      </w:tblPr>
      <w:tblGrid>
        <w:gridCol w:w="2000"/>
        <w:gridCol w:w="1701"/>
        <w:gridCol w:w="1701"/>
        <w:gridCol w:w="1984"/>
        <w:gridCol w:w="1984"/>
      </w:tblGrid>
      <w:tr w:rsidR="00F0113F" w:rsidRPr="00A77117" w:rsidTr="001A3E04">
        <w:trPr>
          <w:trHeight w:val="126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3F" w:rsidRPr="00F41759" w:rsidRDefault="00F0113F" w:rsidP="00F417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41759">
              <w:rPr>
                <w:rFonts w:ascii="Times New Roman" w:hAnsi="Times New Roman"/>
                <w:color w:val="000000"/>
              </w:rPr>
              <w:t>Период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13F" w:rsidRPr="00F41759" w:rsidRDefault="00F0113F" w:rsidP="00F417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41759">
              <w:rPr>
                <w:rFonts w:ascii="Times New Roman" w:hAnsi="Times New Roman"/>
                <w:color w:val="000000"/>
              </w:rPr>
              <w:t>Налоговые платежи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13F" w:rsidRPr="00F41759" w:rsidRDefault="00F0113F" w:rsidP="00F417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41759">
              <w:rPr>
                <w:rFonts w:ascii="Times New Roman" w:hAnsi="Times New Roman"/>
                <w:color w:val="000000"/>
              </w:rPr>
              <w:t>Таможенные платежи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13F" w:rsidRPr="00F41759" w:rsidRDefault="00F0113F" w:rsidP="00F417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41759">
              <w:rPr>
                <w:rFonts w:ascii="Times New Roman" w:hAnsi="Times New Roman"/>
                <w:color w:val="000000"/>
              </w:rPr>
              <w:t>Поступление НДФЛ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13F" w:rsidRPr="00F41759" w:rsidRDefault="00F0113F" w:rsidP="00F417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41759">
              <w:rPr>
                <w:rFonts w:ascii="Times New Roman" w:hAnsi="Times New Roman"/>
                <w:color w:val="000000"/>
              </w:rPr>
              <w:t>Итого</w:t>
            </w:r>
          </w:p>
        </w:tc>
      </w:tr>
      <w:tr w:rsidR="00F0113F" w:rsidRPr="00A77117" w:rsidTr="001A3E04">
        <w:trPr>
          <w:trHeight w:val="31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13F" w:rsidRPr="00F41759" w:rsidRDefault="00F0113F" w:rsidP="00F417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41759">
              <w:rPr>
                <w:rFonts w:ascii="Times New Roman" w:hAnsi="Times New Roman"/>
                <w:color w:val="000000"/>
              </w:rPr>
              <w:t>2005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13F" w:rsidRPr="00F41759" w:rsidRDefault="00F0113F" w:rsidP="00F417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41759">
              <w:rPr>
                <w:rFonts w:ascii="Times New Roman" w:hAnsi="Times New Roman"/>
                <w:color w:val="000000"/>
              </w:rPr>
              <w:t>9450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13F" w:rsidRPr="00F41759" w:rsidRDefault="00F0113F" w:rsidP="00F417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41759">
              <w:rPr>
                <w:rFonts w:ascii="Times New Roman" w:hAnsi="Times New Roman"/>
                <w:color w:val="000000"/>
              </w:rPr>
              <w:t>533,7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13F" w:rsidRPr="00F41759" w:rsidRDefault="00F0113F" w:rsidP="00F417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41759">
              <w:rPr>
                <w:rFonts w:ascii="Times New Roman" w:hAnsi="Times New Roman"/>
                <w:color w:val="000000"/>
              </w:rPr>
              <w:t>н/д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13F" w:rsidRPr="00F41759" w:rsidRDefault="00F0113F" w:rsidP="00F417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41759">
              <w:rPr>
                <w:rFonts w:ascii="Times New Roman" w:hAnsi="Times New Roman"/>
                <w:color w:val="000000"/>
              </w:rPr>
              <w:t>9983,7</w:t>
            </w:r>
          </w:p>
        </w:tc>
      </w:tr>
      <w:tr w:rsidR="00F0113F" w:rsidRPr="00A77117" w:rsidTr="001A3E04">
        <w:trPr>
          <w:trHeight w:val="31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13F" w:rsidRPr="00F41759" w:rsidRDefault="00F0113F" w:rsidP="00F417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41759">
              <w:rPr>
                <w:rFonts w:ascii="Times New Roman" w:hAnsi="Times New Roman"/>
                <w:color w:val="000000"/>
              </w:rPr>
              <w:t>2006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13F" w:rsidRPr="00F41759" w:rsidRDefault="00F0113F" w:rsidP="00F417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41759">
              <w:rPr>
                <w:rFonts w:ascii="Times New Roman" w:hAnsi="Times New Roman"/>
                <w:color w:val="000000"/>
              </w:rPr>
              <w:t>11497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13F" w:rsidRPr="00F41759" w:rsidRDefault="00F0113F" w:rsidP="00F417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41759">
              <w:rPr>
                <w:rFonts w:ascii="Times New Roman" w:hAnsi="Times New Roman"/>
                <w:color w:val="000000"/>
              </w:rPr>
              <w:t>540,8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13F" w:rsidRPr="00F41759" w:rsidRDefault="00F0113F" w:rsidP="00F417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41759">
              <w:rPr>
                <w:rFonts w:ascii="Times New Roman" w:hAnsi="Times New Roman"/>
                <w:color w:val="000000"/>
              </w:rPr>
              <w:t>2107,53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13F" w:rsidRPr="00F41759" w:rsidRDefault="00F0113F" w:rsidP="00F417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41759">
              <w:rPr>
                <w:rFonts w:ascii="Times New Roman" w:hAnsi="Times New Roman"/>
                <w:color w:val="000000"/>
              </w:rPr>
              <w:t>9930,28</w:t>
            </w:r>
          </w:p>
        </w:tc>
      </w:tr>
      <w:tr w:rsidR="00F0113F" w:rsidRPr="00A77117" w:rsidTr="001A3E04">
        <w:trPr>
          <w:trHeight w:val="31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13F" w:rsidRPr="00F41759" w:rsidRDefault="00F0113F" w:rsidP="00F417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41759">
              <w:rPr>
                <w:rFonts w:ascii="Times New Roman" w:hAnsi="Times New Roman"/>
                <w:color w:val="000000"/>
              </w:rPr>
              <w:t>2007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13F" w:rsidRPr="00F41759" w:rsidRDefault="00F0113F" w:rsidP="00F417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41759">
              <w:rPr>
                <w:rFonts w:ascii="Times New Roman" w:hAnsi="Times New Roman"/>
                <w:color w:val="000000"/>
              </w:rPr>
              <w:t>12843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13F" w:rsidRPr="00F41759" w:rsidRDefault="00F0113F" w:rsidP="00F417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41759">
              <w:rPr>
                <w:rFonts w:ascii="Times New Roman" w:hAnsi="Times New Roman"/>
                <w:color w:val="000000"/>
              </w:rPr>
              <w:t>503,2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13F" w:rsidRPr="00F41759" w:rsidRDefault="00F0113F" w:rsidP="00F417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41759">
              <w:rPr>
                <w:rFonts w:ascii="Times New Roman" w:hAnsi="Times New Roman"/>
                <w:color w:val="000000"/>
              </w:rPr>
              <w:t>2469,09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13F" w:rsidRPr="00F41759" w:rsidRDefault="00F0113F" w:rsidP="00F417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41759">
              <w:rPr>
                <w:rFonts w:ascii="Times New Roman" w:hAnsi="Times New Roman"/>
                <w:color w:val="000000"/>
              </w:rPr>
              <w:t>10877,1</w:t>
            </w:r>
          </w:p>
        </w:tc>
      </w:tr>
      <w:tr w:rsidR="00F0113F" w:rsidRPr="00A77117" w:rsidTr="001A3E04">
        <w:trPr>
          <w:trHeight w:val="31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13F" w:rsidRPr="00F41759" w:rsidRDefault="00F0113F" w:rsidP="00F417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41759">
              <w:rPr>
                <w:rFonts w:ascii="Times New Roman" w:hAnsi="Times New Roman"/>
                <w:color w:val="000000"/>
              </w:rPr>
              <w:t>2008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13F" w:rsidRPr="00F41759" w:rsidRDefault="00F0113F" w:rsidP="00F417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41759">
              <w:rPr>
                <w:rFonts w:ascii="Times New Roman" w:hAnsi="Times New Roman"/>
                <w:color w:val="000000"/>
              </w:rPr>
              <w:t>8341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13F" w:rsidRPr="00F41759" w:rsidRDefault="00F0113F" w:rsidP="00F417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41759">
              <w:rPr>
                <w:rFonts w:ascii="Times New Roman" w:hAnsi="Times New Roman"/>
                <w:color w:val="000000"/>
              </w:rPr>
              <w:t>450,9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13F" w:rsidRPr="00F41759" w:rsidRDefault="00F0113F" w:rsidP="00F417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41759">
              <w:rPr>
                <w:rFonts w:ascii="Times New Roman" w:hAnsi="Times New Roman"/>
                <w:color w:val="000000"/>
              </w:rPr>
              <w:t>2960,45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13F" w:rsidRPr="00F41759" w:rsidRDefault="00F0113F" w:rsidP="00F417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41759">
              <w:rPr>
                <w:rFonts w:ascii="Times New Roman" w:hAnsi="Times New Roman"/>
                <w:color w:val="000000"/>
              </w:rPr>
              <w:t>5831,46</w:t>
            </w:r>
          </w:p>
        </w:tc>
      </w:tr>
      <w:tr w:rsidR="00F0113F" w:rsidRPr="00A77117" w:rsidTr="001A3E04">
        <w:trPr>
          <w:trHeight w:val="31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13F" w:rsidRPr="00F41759" w:rsidRDefault="00F0113F" w:rsidP="00F417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41759">
              <w:rPr>
                <w:rFonts w:ascii="Times New Roman" w:hAnsi="Times New Roman"/>
                <w:color w:val="000000"/>
              </w:rPr>
              <w:t>2009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13F" w:rsidRPr="00F41759" w:rsidRDefault="00F0113F" w:rsidP="00F417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41759">
              <w:rPr>
                <w:rFonts w:ascii="Times New Roman" w:hAnsi="Times New Roman"/>
                <w:color w:val="000000"/>
              </w:rPr>
              <w:t>8807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13F" w:rsidRPr="00F41759" w:rsidRDefault="00F0113F" w:rsidP="00F417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41759">
              <w:rPr>
                <w:rFonts w:ascii="Times New Roman" w:hAnsi="Times New Roman"/>
                <w:color w:val="000000"/>
              </w:rPr>
              <w:t>2785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13F" w:rsidRPr="00F41759" w:rsidRDefault="00F0113F" w:rsidP="00F417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41759">
              <w:rPr>
                <w:rFonts w:ascii="Times New Roman" w:hAnsi="Times New Roman"/>
                <w:color w:val="000000"/>
              </w:rPr>
              <w:t>3426,38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13F" w:rsidRPr="00F41759" w:rsidRDefault="00F0113F" w:rsidP="00F417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41759">
              <w:rPr>
                <w:rFonts w:ascii="Times New Roman" w:hAnsi="Times New Roman"/>
                <w:color w:val="000000"/>
              </w:rPr>
              <w:t>8165,62</w:t>
            </w:r>
          </w:p>
        </w:tc>
      </w:tr>
      <w:tr w:rsidR="00F0113F" w:rsidRPr="00A77117" w:rsidTr="001A3E04">
        <w:trPr>
          <w:trHeight w:val="31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13F" w:rsidRPr="00F41759" w:rsidRDefault="00F0113F" w:rsidP="00F417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41759">
              <w:rPr>
                <w:rFonts w:ascii="Times New Roman" w:hAnsi="Times New Roman"/>
                <w:color w:val="000000"/>
              </w:rPr>
              <w:t>2010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13F" w:rsidRPr="00F41759" w:rsidRDefault="00F0113F" w:rsidP="00F417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41759">
              <w:rPr>
                <w:rFonts w:ascii="Times New Roman" w:hAnsi="Times New Roman"/>
                <w:color w:val="000000"/>
              </w:rPr>
              <w:t>10094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13F" w:rsidRPr="00F41759" w:rsidRDefault="00F0113F" w:rsidP="00F417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41759">
              <w:rPr>
                <w:rFonts w:ascii="Times New Roman" w:hAnsi="Times New Roman"/>
                <w:color w:val="000000"/>
              </w:rPr>
              <w:t>3375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13F" w:rsidRPr="00F41759" w:rsidRDefault="00F0113F" w:rsidP="00F417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41759">
              <w:rPr>
                <w:rFonts w:ascii="Times New Roman" w:hAnsi="Times New Roman"/>
                <w:color w:val="000000"/>
              </w:rPr>
              <w:t>3984,11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13F" w:rsidRPr="00F41759" w:rsidRDefault="00F0113F" w:rsidP="00F417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41759">
              <w:rPr>
                <w:rFonts w:ascii="Times New Roman" w:hAnsi="Times New Roman"/>
                <w:color w:val="000000"/>
              </w:rPr>
              <w:t>9484,9</w:t>
            </w:r>
          </w:p>
        </w:tc>
      </w:tr>
      <w:tr w:rsidR="00F0113F" w:rsidRPr="00A77117" w:rsidTr="001A3E04">
        <w:trPr>
          <w:trHeight w:val="31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13F" w:rsidRPr="00F41759" w:rsidRDefault="00F0113F" w:rsidP="00F417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41759">
              <w:rPr>
                <w:rFonts w:ascii="Times New Roman" w:hAnsi="Times New Roman"/>
                <w:color w:val="000000"/>
              </w:rPr>
              <w:t>2011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13F" w:rsidRPr="00F41759" w:rsidRDefault="00F0113F" w:rsidP="00F417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41759">
              <w:rPr>
                <w:rFonts w:ascii="Times New Roman" w:hAnsi="Times New Roman"/>
                <w:color w:val="000000"/>
              </w:rPr>
              <w:t>9818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13F" w:rsidRPr="00F41759" w:rsidRDefault="00F0113F" w:rsidP="00F417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41759">
              <w:rPr>
                <w:rFonts w:ascii="Times New Roman" w:hAnsi="Times New Roman"/>
                <w:color w:val="000000"/>
              </w:rPr>
              <w:t>3445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13F" w:rsidRPr="00F41759" w:rsidRDefault="00F0113F" w:rsidP="00F417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41759">
              <w:rPr>
                <w:rFonts w:ascii="Times New Roman" w:hAnsi="Times New Roman"/>
                <w:color w:val="000000"/>
              </w:rPr>
              <w:t>4248,21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13F" w:rsidRPr="00F41759" w:rsidRDefault="00F0113F" w:rsidP="00F417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41759">
              <w:rPr>
                <w:rFonts w:ascii="Times New Roman" w:hAnsi="Times New Roman"/>
                <w:color w:val="000000"/>
              </w:rPr>
              <w:t>9014,79</w:t>
            </w:r>
          </w:p>
        </w:tc>
      </w:tr>
      <w:tr w:rsidR="00F0113F" w:rsidRPr="00A77117" w:rsidTr="001A3E04">
        <w:trPr>
          <w:trHeight w:val="31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13F" w:rsidRPr="00F41759" w:rsidRDefault="00F0113F" w:rsidP="00F417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41759">
              <w:rPr>
                <w:rFonts w:ascii="Times New Roman" w:hAnsi="Times New Roman"/>
                <w:color w:val="000000"/>
              </w:rPr>
              <w:t>2012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13F" w:rsidRPr="00F41759" w:rsidRDefault="00F0113F" w:rsidP="00F417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41759">
              <w:rPr>
                <w:rFonts w:ascii="Times New Roman" w:hAnsi="Times New Roman"/>
                <w:color w:val="000000"/>
              </w:rPr>
              <w:t>9717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13F" w:rsidRPr="00F41759" w:rsidRDefault="00F0113F" w:rsidP="00F417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41759">
              <w:rPr>
                <w:rFonts w:ascii="Times New Roman" w:hAnsi="Times New Roman"/>
                <w:color w:val="000000"/>
              </w:rPr>
              <w:t>3929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13F" w:rsidRPr="00F41759" w:rsidRDefault="00F0113F" w:rsidP="00F417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41759">
              <w:rPr>
                <w:rFonts w:ascii="Times New Roman" w:hAnsi="Times New Roman"/>
                <w:color w:val="000000"/>
              </w:rPr>
              <w:t>4430,38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13F" w:rsidRPr="00F41759" w:rsidRDefault="00F0113F" w:rsidP="00F417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41759">
              <w:rPr>
                <w:rFonts w:ascii="Times New Roman" w:hAnsi="Times New Roman"/>
                <w:color w:val="000000"/>
              </w:rPr>
              <w:t>9215,62</w:t>
            </w:r>
          </w:p>
        </w:tc>
      </w:tr>
      <w:tr w:rsidR="00F0113F" w:rsidRPr="00A77117" w:rsidTr="001A3E04">
        <w:trPr>
          <w:trHeight w:val="31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13F" w:rsidRPr="00F41759" w:rsidRDefault="00F0113F" w:rsidP="00F417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41759">
              <w:rPr>
                <w:rFonts w:ascii="Times New Roman" w:hAnsi="Times New Roman"/>
                <w:color w:val="000000"/>
              </w:rPr>
              <w:t>2013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13F" w:rsidRPr="00F41759" w:rsidRDefault="00F0113F" w:rsidP="00F417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41759">
              <w:rPr>
                <w:rFonts w:ascii="Times New Roman" w:hAnsi="Times New Roman"/>
                <w:color w:val="000000"/>
              </w:rPr>
              <w:t>9110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13F" w:rsidRPr="00F41759" w:rsidRDefault="00F0113F" w:rsidP="00F417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41759">
              <w:rPr>
                <w:rFonts w:ascii="Times New Roman" w:hAnsi="Times New Roman"/>
                <w:color w:val="000000"/>
              </w:rPr>
              <w:t>3990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13F" w:rsidRPr="00F41759" w:rsidRDefault="00F0113F" w:rsidP="00F417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41759">
              <w:rPr>
                <w:rFonts w:ascii="Times New Roman" w:hAnsi="Times New Roman"/>
                <w:color w:val="000000"/>
              </w:rPr>
              <w:t>4593,04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13F" w:rsidRPr="00F41759" w:rsidRDefault="00F0113F" w:rsidP="00F417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41759">
              <w:rPr>
                <w:rFonts w:ascii="Times New Roman" w:hAnsi="Times New Roman"/>
                <w:color w:val="000000"/>
              </w:rPr>
              <w:t>8506,97</w:t>
            </w:r>
          </w:p>
        </w:tc>
      </w:tr>
      <w:tr w:rsidR="00F0113F" w:rsidRPr="00A77117" w:rsidTr="001A3E04">
        <w:trPr>
          <w:trHeight w:val="31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13F" w:rsidRPr="00F41759" w:rsidRDefault="00F0113F" w:rsidP="00F417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41759">
              <w:rPr>
                <w:rFonts w:ascii="Times New Roman" w:hAnsi="Times New Roman"/>
                <w:color w:val="000000"/>
              </w:rPr>
              <w:t>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13F" w:rsidRPr="00F41759" w:rsidRDefault="00F0113F" w:rsidP="00F417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41759">
              <w:rPr>
                <w:rFonts w:ascii="Times New Roman" w:hAnsi="Times New Roman"/>
                <w:color w:val="000000"/>
              </w:rPr>
              <w:t>10497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13F" w:rsidRPr="00F41759" w:rsidRDefault="00F0113F" w:rsidP="00F417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41759">
              <w:rPr>
                <w:rFonts w:ascii="Times New Roman" w:hAnsi="Times New Roman"/>
                <w:color w:val="000000"/>
              </w:rPr>
              <w:t>3605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13F" w:rsidRPr="00F41759" w:rsidRDefault="00F0113F" w:rsidP="00F417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41759">
              <w:rPr>
                <w:rFonts w:ascii="Times New Roman" w:hAnsi="Times New Roman"/>
                <w:color w:val="000000"/>
              </w:rPr>
              <w:t>5236,48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13F" w:rsidRPr="00F41759" w:rsidRDefault="00F0113F" w:rsidP="00F417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41759">
              <w:rPr>
                <w:rFonts w:ascii="Times New Roman" w:hAnsi="Times New Roman"/>
                <w:color w:val="000000"/>
              </w:rPr>
              <w:t>8865,52</w:t>
            </w:r>
          </w:p>
        </w:tc>
      </w:tr>
    </w:tbl>
    <w:p w:rsidR="00F0113F" w:rsidRDefault="00F0113F" w:rsidP="000C176A">
      <w:pPr>
        <w:widowControl w:val="0"/>
        <w:autoSpaceDE w:val="0"/>
        <w:autoSpaceDN w:val="0"/>
        <w:adjustRightInd w:val="0"/>
        <w:spacing w:after="36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F0113F" w:rsidRDefault="00F0113F" w:rsidP="000C176A">
      <w:pPr>
        <w:widowControl w:val="0"/>
        <w:autoSpaceDE w:val="0"/>
        <w:autoSpaceDN w:val="0"/>
        <w:adjustRightInd w:val="0"/>
        <w:spacing w:after="36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Измерение фискальной (налоговой) нагрузки с помощью соответствующей доли в отраслевой выручке показывает, что </w:t>
      </w:r>
      <w:r w:rsidRPr="003C714D">
        <w:rPr>
          <w:rFonts w:ascii="Times New Roman" w:hAnsi="Times New Roman"/>
          <w:b/>
          <w:sz w:val="28"/>
          <w:szCs w:val="28"/>
        </w:rPr>
        <w:t>в 2005 – 2007 годах фискальная (налоговая) нагрузка составляла свыше 20% отраслевой выручки.</w:t>
      </w:r>
      <w:r>
        <w:rPr>
          <w:rFonts w:ascii="Times New Roman" w:hAnsi="Times New Roman"/>
          <w:sz w:val="28"/>
          <w:szCs w:val="28"/>
        </w:rPr>
        <w:t xml:space="preserve">Фискальная (налоговая) нагрузка в 2007 году составила 14,25 млрд. рублей – 26,2% отраслевой выручки. </w:t>
      </w:r>
      <w:r w:rsidRPr="003C714D">
        <w:rPr>
          <w:rFonts w:ascii="Times New Roman" w:hAnsi="Times New Roman"/>
          <w:b/>
          <w:sz w:val="28"/>
          <w:szCs w:val="28"/>
        </w:rPr>
        <w:t>Начиная с 2008 года происходит снижение фискальной (налоговой) нагрузки на предприятия отрасли</w:t>
      </w:r>
      <w:r>
        <w:rPr>
          <w:rFonts w:ascii="Times New Roman" w:hAnsi="Times New Roman"/>
          <w:sz w:val="28"/>
          <w:szCs w:val="28"/>
        </w:rPr>
        <w:t xml:space="preserve">: в 2008 году наиболее значительное сокращение - до 14,7% (почти вдвое). В 2009 – 2010 годах фискальная (налоговая) нагрузка несколько увеличивается на 2,4 процентных пункта – до 17,1%. Начиная с 2011 годавновь происходит снижение налоговой (фискальной) нагрузки на предприятий отрасли – до 10,5% (на 6,7 процентных пункта). </w:t>
      </w:r>
    </w:p>
    <w:p w:rsidR="00F0113F" w:rsidRDefault="00F0113F" w:rsidP="00391F5C">
      <w:pPr>
        <w:widowControl w:val="0"/>
        <w:autoSpaceDE w:val="0"/>
        <w:autoSpaceDN w:val="0"/>
        <w:adjustRightInd w:val="0"/>
        <w:spacing w:after="36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2009 – 2010 годах после введения нормы об обязательной доставке уловов водных биологических ресурсов на таможенную территорию Российской Федерации произошло существенное увеличение таможенных платежей: с 500 млн. рублей в 2005 – 2008 годах до 2 785 млн. рублей в 2009 году. В 2010 – 2013 годах таможенные платежи составляли от 3 375 млн. рублей до 3 990 млн. рублей. Доля таможенных платежей в совокупной фискальной нагрузке предприятий составила в 2010 – 2013 годах 25 – 27%.</w:t>
      </w:r>
    </w:p>
    <w:p w:rsidR="00F0113F" w:rsidRDefault="00F0113F" w:rsidP="00391F5C">
      <w:pPr>
        <w:widowControl w:val="0"/>
        <w:autoSpaceDE w:val="0"/>
        <w:autoSpaceDN w:val="0"/>
        <w:adjustRightInd w:val="0"/>
        <w:spacing w:after="36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94D8B">
        <w:rPr>
          <w:rFonts w:ascii="Times New Roman" w:hAnsi="Times New Roman"/>
          <w:sz w:val="28"/>
          <w:szCs w:val="28"/>
        </w:rPr>
        <w:t>В соответствии с постановлением Правительства Российской Федерации от 30 августа 2013 года №754 «Об утверждении ставок вывозных таможенных пошлин на товары, вывозимые из Российской Федерации за пределы государств – участников соглашений о Таможенном союзе, и о признании утратившими силу некоторых актов Правительства Российской Федерации» ставки вывозных таможенных пошлин приводятся в соответствие с обязательствами Российской Федерации после её присоединения к Всемирной торговой организации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F0113F" w:rsidRDefault="00F0113F" w:rsidP="00391F5C">
      <w:pPr>
        <w:widowControl w:val="0"/>
        <w:autoSpaceDE w:val="0"/>
        <w:autoSpaceDN w:val="0"/>
        <w:adjustRightInd w:val="0"/>
        <w:spacing w:after="36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Начиная с 2013 года, </w:t>
      </w:r>
      <w:r w:rsidRPr="00794D8B">
        <w:rPr>
          <w:rFonts w:ascii="Times New Roman" w:hAnsi="Times New Roman"/>
          <w:sz w:val="28"/>
          <w:szCs w:val="28"/>
        </w:rPr>
        <w:t>происходит поэтапное – на 25% в год – сокращение ст</w:t>
      </w:r>
      <w:r>
        <w:rPr>
          <w:rFonts w:ascii="Times New Roman" w:hAnsi="Times New Roman"/>
          <w:sz w:val="28"/>
          <w:szCs w:val="28"/>
        </w:rPr>
        <w:t>авок вывозных таможенных пошлин: в 2013 году ставка вывозной пошлины составляла 5% от таможенной стоимости товара, в 2014 году – 3,75%, в 2015 – 2,5%.</w:t>
      </w:r>
    </w:p>
    <w:p w:rsidR="00F0113F" w:rsidRDefault="00F0113F" w:rsidP="00391F5C">
      <w:pPr>
        <w:widowControl w:val="0"/>
        <w:autoSpaceDE w:val="0"/>
        <w:autoSpaceDN w:val="0"/>
        <w:adjustRightInd w:val="0"/>
        <w:spacing w:after="36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оценке налоговой нагрузки учитывались страховые взносы на обязательное пенсионное страхование, обязательное медицинское страхование и обязательное социальное страхование. Официальные данные об объёме соответствующих платежей имеются только за 2007 – 2009 годы, когда указанные страховые взносы администрировались ФНС как единый социальный налог (ЕСН). Согласно форме №1 – НОМ, поступления единого социального налога в 2007 году составили 3 374,7 млн. рублей, в 2008 году – 3 928,8 млн. рублей, в 2009 году – 3 947,9 млн. рублей. Данные об объеме поступлений страховых платежей предприятий по виду экономической деятельности «Рыболовство, рыбоводство» за 2010 – 2014 годы Пенсионный фонд Российской Федерации и Фонд социального страхования не предоставили. </w:t>
      </w:r>
    </w:p>
    <w:p w:rsidR="00F0113F" w:rsidRDefault="00F0113F" w:rsidP="00391F5C">
      <w:pPr>
        <w:widowControl w:val="0"/>
        <w:autoSpaceDE w:val="0"/>
        <w:autoSpaceDN w:val="0"/>
        <w:adjustRightInd w:val="0"/>
        <w:spacing w:after="36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расчёте совокупного объёма страховых взносов на обязательное пенсионное страхование, обязательное медицинское страхование и обязательное социальное страхование в 2010 – 2014 году использовалась пропорция между объёмом поступлений налога на доходы физических лиц (НДФЛ) и объёмом страховых взносов, обусловленная соотношением ставки налога на доходы физических лиц и ставки страховых взносов. С учётом выявленной пропорции представляется обоснованным оценочная величина поступлений страховых взносов в 2010 – 2014 годы, приводимая в таблице 6.</w:t>
      </w:r>
    </w:p>
    <w:p w:rsidR="00F0113F" w:rsidRDefault="00F0113F" w:rsidP="007106FB">
      <w:pPr>
        <w:widowControl w:val="0"/>
        <w:autoSpaceDE w:val="0"/>
        <w:autoSpaceDN w:val="0"/>
        <w:adjustRightInd w:val="0"/>
        <w:spacing w:after="360"/>
        <w:contextualSpacing/>
        <w:jc w:val="both"/>
        <w:rPr>
          <w:rFonts w:ascii="Times New Roman" w:hAnsi="Times New Roman"/>
          <w:sz w:val="28"/>
          <w:szCs w:val="28"/>
        </w:rPr>
      </w:pPr>
    </w:p>
    <w:p w:rsidR="00F0113F" w:rsidRPr="006E10D0" w:rsidRDefault="00F0113F" w:rsidP="007106FB">
      <w:pPr>
        <w:widowControl w:val="0"/>
        <w:autoSpaceDE w:val="0"/>
        <w:autoSpaceDN w:val="0"/>
        <w:adjustRightInd w:val="0"/>
        <w:spacing w:after="360"/>
        <w:contextualSpacing/>
        <w:jc w:val="both"/>
        <w:rPr>
          <w:rFonts w:ascii="Times New Roman" w:hAnsi="Times New Roman"/>
          <w:sz w:val="28"/>
          <w:szCs w:val="28"/>
        </w:rPr>
      </w:pPr>
      <w:r w:rsidRPr="006E10D0">
        <w:rPr>
          <w:rFonts w:ascii="Times New Roman" w:hAnsi="Times New Roman"/>
          <w:sz w:val="28"/>
          <w:szCs w:val="28"/>
        </w:rPr>
        <w:t xml:space="preserve">Таблица 6. Соотношение поступлений НДФЛ и страховых </w:t>
      </w:r>
      <w:r>
        <w:rPr>
          <w:rFonts w:ascii="Times New Roman" w:hAnsi="Times New Roman"/>
          <w:sz w:val="28"/>
          <w:szCs w:val="28"/>
        </w:rPr>
        <w:t>взносов предприятий на обязательные виды страхования по виду экономической деятельности «Рыболовство, рыбоводство»</w:t>
      </w:r>
      <w:r>
        <w:rPr>
          <w:rStyle w:val="FootnoteReference"/>
          <w:rFonts w:ascii="Times New Roman" w:hAnsi="Times New Roman"/>
          <w:sz w:val="28"/>
          <w:szCs w:val="28"/>
        </w:rPr>
        <w:footnoteReference w:id="9"/>
      </w:r>
    </w:p>
    <w:tbl>
      <w:tblPr>
        <w:tblW w:w="9486" w:type="dxa"/>
        <w:tblInd w:w="93" w:type="dxa"/>
        <w:tblLook w:val="00A0"/>
      </w:tblPr>
      <w:tblGrid>
        <w:gridCol w:w="2283"/>
        <w:gridCol w:w="851"/>
        <w:gridCol w:w="850"/>
        <w:gridCol w:w="960"/>
        <w:gridCol w:w="960"/>
        <w:gridCol w:w="960"/>
        <w:gridCol w:w="870"/>
        <w:gridCol w:w="960"/>
        <w:gridCol w:w="792"/>
      </w:tblGrid>
      <w:tr w:rsidR="00F0113F" w:rsidRPr="00A77117" w:rsidTr="006E10D0">
        <w:trPr>
          <w:trHeight w:val="3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13F" w:rsidRPr="006E10D0" w:rsidRDefault="00F0113F" w:rsidP="006E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6E10D0">
              <w:rPr>
                <w:rFonts w:ascii="Times New Roman" w:hAnsi="Times New Roman"/>
                <w:color w:val="000000"/>
              </w:rPr>
              <w:t>Показатель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13F" w:rsidRPr="006E10D0" w:rsidRDefault="00F0113F" w:rsidP="006E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6E10D0">
              <w:rPr>
                <w:rFonts w:ascii="Times New Roman" w:hAnsi="Times New Roman"/>
                <w:color w:val="000000"/>
              </w:rPr>
              <w:t>2007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13F" w:rsidRPr="006E10D0" w:rsidRDefault="00F0113F" w:rsidP="006E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6E10D0">
              <w:rPr>
                <w:rFonts w:ascii="Times New Roman" w:hAnsi="Times New Roman"/>
                <w:color w:val="000000"/>
              </w:rPr>
              <w:t>2008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13F" w:rsidRPr="006E10D0" w:rsidRDefault="00F0113F" w:rsidP="006E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6E10D0">
              <w:rPr>
                <w:rFonts w:ascii="Times New Roman" w:hAnsi="Times New Roman"/>
                <w:color w:val="000000"/>
              </w:rPr>
              <w:t>2009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13F" w:rsidRPr="006E10D0" w:rsidRDefault="00F0113F" w:rsidP="006E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6E10D0">
              <w:rPr>
                <w:rFonts w:ascii="Times New Roman" w:hAnsi="Times New Roman"/>
                <w:color w:val="000000"/>
              </w:rPr>
              <w:t>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13F" w:rsidRPr="006E10D0" w:rsidRDefault="00F0113F" w:rsidP="006E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6E10D0">
              <w:rPr>
                <w:rFonts w:ascii="Times New Roman" w:hAnsi="Times New Roman"/>
                <w:color w:val="000000"/>
              </w:rPr>
              <w:t>2011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13F" w:rsidRPr="006E10D0" w:rsidRDefault="00F0113F" w:rsidP="006E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6E10D0">
              <w:rPr>
                <w:rFonts w:ascii="Times New Roman" w:hAnsi="Times New Roman"/>
                <w:color w:val="000000"/>
              </w:rPr>
              <w:t>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13F" w:rsidRPr="006E10D0" w:rsidRDefault="00F0113F" w:rsidP="006E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6E10D0">
              <w:rPr>
                <w:rFonts w:ascii="Times New Roman" w:hAnsi="Times New Roman"/>
                <w:color w:val="000000"/>
              </w:rPr>
              <w:t>2013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13F" w:rsidRPr="006E10D0" w:rsidRDefault="00F0113F" w:rsidP="006E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6E10D0">
              <w:rPr>
                <w:rFonts w:ascii="Times New Roman" w:hAnsi="Times New Roman"/>
                <w:color w:val="000000"/>
              </w:rPr>
              <w:t>2014</w:t>
            </w:r>
          </w:p>
        </w:tc>
      </w:tr>
      <w:tr w:rsidR="00F0113F" w:rsidRPr="00A77117" w:rsidTr="006E10D0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13F" w:rsidRPr="006E10D0" w:rsidRDefault="00F0113F" w:rsidP="006E10D0">
            <w:pPr>
              <w:rPr>
                <w:rFonts w:ascii="Times New Roman" w:hAnsi="Times New Roman"/>
                <w:color w:val="000000"/>
              </w:rPr>
            </w:pPr>
            <w:r w:rsidRPr="006E10D0">
              <w:rPr>
                <w:rFonts w:ascii="Times New Roman" w:hAnsi="Times New Roman"/>
                <w:color w:val="000000"/>
              </w:rPr>
              <w:t>НДФЛ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13F" w:rsidRPr="006E10D0" w:rsidRDefault="00F0113F" w:rsidP="006E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6E10D0">
              <w:rPr>
                <w:rFonts w:ascii="Times New Roman" w:hAnsi="Times New Roman"/>
                <w:color w:val="000000"/>
              </w:rPr>
              <w:t>2469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13F" w:rsidRPr="006E10D0" w:rsidRDefault="00F0113F" w:rsidP="006E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6E10D0">
              <w:rPr>
                <w:rFonts w:ascii="Times New Roman" w:hAnsi="Times New Roman"/>
                <w:color w:val="000000"/>
              </w:rPr>
              <w:t>2960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13F" w:rsidRPr="006E10D0" w:rsidRDefault="00F0113F" w:rsidP="006E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6E10D0">
              <w:rPr>
                <w:rFonts w:ascii="Times New Roman" w:hAnsi="Times New Roman"/>
                <w:color w:val="000000"/>
              </w:rPr>
              <w:t>3426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13F" w:rsidRPr="006E10D0" w:rsidRDefault="00F0113F" w:rsidP="006E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6E10D0">
              <w:rPr>
                <w:rFonts w:ascii="Times New Roman" w:hAnsi="Times New Roman"/>
                <w:color w:val="000000"/>
              </w:rPr>
              <w:t>3984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13F" w:rsidRPr="006E10D0" w:rsidRDefault="00F0113F" w:rsidP="006E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6E10D0">
              <w:rPr>
                <w:rFonts w:ascii="Times New Roman" w:hAnsi="Times New Roman"/>
                <w:color w:val="000000"/>
              </w:rPr>
              <w:t>4248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13F" w:rsidRPr="006E10D0" w:rsidRDefault="00F0113F" w:rsidP="006E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6E10D0">
              <w:rPr>
                <w:rFonts w:ascii="Times New Roman" w:hAnsi="Times New Roman"/>
                <w:color w:val="000000"/>
              </w:rPr>
              <w:t>4430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13F" w:rsidRPr="006E10D0" w:rsidRDefault="00F0113F" w:rsidP="006E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6E10D0">
              <w:rPr>
                <w:rFonts w:ascii="Times New Roman" w:hAnsi="Times New Roman"/>
                <w:color w:val="000000"/>
              </w:rPr>
              <w:t>4593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13F" w:rsidRPr="006E10D0" w:rsidRDefault="00F0113F" w:rsidP="006E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6E10D0">
              <w:rPr>
                <w:rFonts w:ascii="Times New Roman" w:hAnsi="Times New Roman"/>
                <w:color w:val="000000"/>
              </w:rPr>
              <w:t>5236</w:t>
            </w:r>
          </w:p>
        </w:tc>
      </w:tr>
      <w:tr w:rsidR="00F0113F" w:rsidRPr="00A77117" w:rsidTr="006E10D0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13F" w:rsidRPr="006E10D0" w:rsidRDefault="00F0113F" w:rsidP="006E10D0">
            <w:pPr>
              <w:rPr>
                <w:rFonts w:ascii="Times New Roman" w:hAnsi="Times New Roman"/>
                <w:color w:val="000000"/>
              </w:rPr>
            </w:pPr>
            <w:r w:rsidRPr="006E10D0">
              <w:rPr>
                <w:rFonts w:ascii="Times New Roman" w:hAnsi="Times New Roman"/>
                <w:color w:val="000000"/>
              </w:rPr>
              <w:t>Страховые платежи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13F" w:rsidRPr="006E10D0" w:rsidRDefault="00F0113F" w:rsidP="006E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6E10D0">
              <w:rPr>
                <w:rFonts w:ascii="Times New Roman" w:hAnsi="Times New Roman"/>
                <w:color w:val="000000"/>
              </w:rPr>
              <w:t>3374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13F" w:rsidRPr="006E10D0" w:rsidRDefault="00F0113F" w:rsidP="006E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6E10D0">
              <w:rPr>
                <w:rFonts w:ascii="Times New Roman" w:hAnsi="Times New Roman"/>
                <w:color w:val="000000"/>
              </w:rPr>
              <w:t>3928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13F" w:rsidRPr="006E10D0" w:rsidRDefault="00F0113F" w:rsidP="006E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6E10D0">
              <w:rPr>
                <w:rFonts w:ascii="Times New Roman" w:hAnsi="Times New Roman"/>
                <w:color w:val="000000"/>
              </w:rPr>
              <w:t>3947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13F" w:rsidRPr="006E10D0" w:rsidRDefault="00F0113F" w:rsidP="006E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6E10D0">
              <w:rPr>
                <w:rFonts w:ascii="Times New Roman" w:hAnsi="Times New Roman"/>
                <w:color w:val="000000"/>
              </w:rPr>
              <w:t>4581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13F" w:rsidRPr="006E10D0" w:rsidRDefault="00F0113F" w:rsidP="006E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6E10D0">
              <w:rPr>
                <w:rFonts w:ascii="Times New Roman" w:hAnsi="Times New Roman"/>
                <w:color w:val="000000"/>
              </w:rPr>
              <w:t>4885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13F" w:rsidRPr="006E10D0" w:rsidRDefault="00F0113F" w:rsidP="006E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6E10D0">
              <w:rPr>
                <w:rFonts w:ascii="Times New Roman" w:hAnsi="Times New Roman"/>
                <w:color w:val="000000"/>
              </w:rPr>
              <w:t>5094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13F" w:rsidRPr="006E10D0" w:rsidRDefault="00F0113F" w:rsidP="006E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6E10D0">
              <w:rPr>
                <w:rFonts w:ascii="Times New Roman" w:hAnsi="Times New Roman"/>
                <w:color w:val="000000"/>
              </w:rPr>
              <w:t>5281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13F" w:rsidRPr="006E10D0" w:rsidRDefault="00F0113F" w:rsidP="006E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6E10D0">
              <w:rPr>
                <w:rFonts w:ascii="Times New Roman" w:hAnsi="Times New Roman"/>
                <w:color w:val="000000"/>
              </w:rPr>
              <w:t>6021</w:t>
            </w:r>
          </w:p>
        </w:tc>
      </w:tr>
    </w:tbl>
    <w:p w:rsidR="00F0113F" w:rsidRDefault="00F0113F" w:rsidP="007106FB">
      <w:pPr>
        <w:widowControl w:val="0"/>
        <w:autoSpaceDE w:val="0"/>
        <w:autoSpaceDN w:val="0"/>
        <w:adjustRightInd w:val="0"/>
        <w:spacing w:after="360"/>
        <w:contextualSpacing/>
        <w:jc w:val="both"/>
        <w:rPr>
          <w:rFonts w:ascii="Times New Roman" w:hAnsi="Times New Roman"/>
          <w:sz w:val="28"/>
          <w:szCs w:val="28"/>
        </w:rPr>
      </w:pPr>
    </w:p>
    <w:p w:rsidR="00F0113F" w:rsidRDefault="00F0113F" w:rsidP="000200D9">
      <w:pPr>
        <w:widowControl w:val="0"/>
        <w:autoSpaceDE w:val="0"/>
        <w:autoSpaceDN w:val="0"/>
        <w:adjustRightInd w:val="0"/>
        <w:spacing w:after="36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методологией Комиссии РСПП по рыбному хозяйству и аквакультуре фискальная (налоговая) нагрузка на предприятия по виду экономической деятельности «Рыболовство, рыбоводство» в 2007 – 2014 годах характеризовалась следующими показателями. </w:t>
      </w:r>
    </w:p>
    <w:p w:rsidR="00F0113F" w:rsidRDefault="00F0113F" w:rsidP="006E10D0">
      <w:pPr>
        <w:widowControl w:val="0"/>
        <w:autoSpaceDE w:val="0"/>
        <w:autoSpaceDN w:val="0"/>
        <w:adjustRightInd w:val="0"/>
        <w:spacing w:after="360"/>
        <w:contextualSpacing/>
        <w:jc w:val="both"/>
        <w:rPr>
          <w:rFonts w:ascii="Times New Roman" w:hAnsi="Times New Roman"/>
          <w:sz w:val="28"/>
          <w:szCs w:val="28"/>
        </w:rPr>
      </w:pPr>
    </w:p>
    <w:p w:rsidR="00F0113F" w:rsidRPr="006E10D0" w:rsidRDefault="00F0113F" w:rsidP="006E10D0">
      <w:pPr>
        <w:widowControl w:val="0"/>
        <w:autoSpaceDE w:val="0"/>
        <w:autoSpaceDN w:val="0"/>
        <w:adjustRightInd w:val="0"/>
        <w:spacing w:after="3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7</w:t>
      </w:r>
      <w:r w:rsidRPr="006E10D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Фискальная (налоговая) нагрузка на предприятия по виду экономической деятельности «Рыболовство, рыбоводство»</w:t>
      </w:r>
      <w:r>
        <w:rPr>
          <w:rStyle w:val="FootnoteReference"/>
          <w:rFonts w:ascii="Times New Roman" w:hAnsi="Times New Roman"/>
          <w:sz w:val="28"/>
          <w:szCs w:val="28"/>
        </w:rPr>
        <w:footnoteReference w:id="10"/>
      </w:r>
    </w:p>
    <w:tbl>
      <w:tblPr>
        <w:tblW w:w="9513" w:type="dxa"/>
        <w:tblInd w:w="93" w:type="dxa"/>
        <w:tblLook w:val="00A0"/>
      </w:tblPr>
      <w:tblGrid>
        <w:gridCol w:w="2283"/>
        <w:gridCol w:w="851"/>
        <w:gridCol w:w="850"/>
        <w:gridCol w:w="993"/>
        <w:gridCol w:w="960"/>
        <w:gridCol w:w="960"/>
        <w:gridCol w:w="773"/>
        <w:gridCol w:w="960"/>
        <w:gridCol w:w="883"/>
      </w:tblGrid>
      <w:tr w:rsidR="00F0113F" w:rsidRPr="00A77117" w:rsidTr="006E10D0">
        <w:trPr>
          <w:trHeight w:val="3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13F" w:rsidRPr="006E10D0" w:rsidRDefault="00F0113F" w:rsidP="006E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6E10D0">
              <w:rPr>
                <w:rFonts w:ascii="Times New Roman" w:hAnsi="Times New Roman"/>
                <w:color w:val="000000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13F" w:rsidRPr="006E10D0" w:rsidRDefault="00F0113F" w:rsidP="006E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6E10D0">
              <w:rPr>
                <w:rFonts w:ascii="Times New Roman" w:hAnsi="Times New Roman"/>
                <w:color w:val="000000"/>
              </w:rPr>
              <w:t>2007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13F" w:rsidRPr="006E10D0" w:rsidRDefault="00F0113F" w:rsidP="006E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6E10D0">
              <w:rPr>
                <w:rFonts w:ascii="Times New Roman" w:hAnsi="Times New Roman"/>
                <w:color w:val="000000"/>
              </w:rPr>
              <w:t>2008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13F" w:rsidRPr="006E10D0" w:rsidRDefault="00F0113F" w:rsidP="006E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6E10D0">
              <w:rPr>
                <w:rFonts w:ascii="Times New Roman" w:hAnsi="Times New Roman"/>
                <w:color w:val="000000"/>
              </w:rPr>
              <w:t>2009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13F" w:rsidRPr="006E10D0" w:rsidRDefault="00F0113F" w:rsidP="006E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6E10D0">
              <w:rPr>
                <w:rFonts w:ascii="Times New Roman" w:hAnsi="Times New Roman"/>
                <w:color w:val="000000"/>
              </w:rPr>
              <w:t>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13F" w:rsidRPr="006E10D0" w:rsidRDefault="00F0113F" w:rsidP="006E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6E10D0">
              <w:rPr>
                <w:rFonts w:ascii="Times New Roman" w:hAnsi="Times New Roman"/>
                <w:color w:val="000000"/>
              </w:rPr>
              <w:t>2011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13F" w:rsidRPr="006E10D0" w:rsidRDefault="00F0113F" w:rsidP="006E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6E10D0">
              <w:rPr>
                <w:rFonts w:ascii="Times New Roman" w:hAnsi="Times New Roman"/>
                <w:color w:val="000000"/>
              </w:rPr>
              <w:t>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13F" w:rsidRPr="006E10D0" w:rsidRDefault="00F0113F" w:rsidP="006E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6E10D0">
              <w:rPr>
                <w:rFonts w:ascii="Times New Roman" w:hAnsi="Times New Roman"/>
                <w:color w:val="000000"/>
              </w:rPr>
              <w:t>2013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13F" w:rsidRPr="006E10D0" w:rsidRDefault="00F0113F" w:rsidP="006E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6E10D0">
              <w:rPr>
                <w:rFonts w:ascii="Times New Roman" w:hAnsi="Times New Roman"/>
                <w:color w:val="000000"/>
              </w:rPr>
              <w:t>2014</w:t>
            </w:r>
          </w:p>
        </w:tc>
      </w:tr>
      <w:tr w:rsidR="00F0113F" w:rsidRPr="00A77117" w:rsidTr="006E10D0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13F" w:rsidRPr="006E10D0" w:rsidRDefault="00F0113F" w:rsidP="006E10D0">
            <w:pPr>
              <w:rPr>
                <w:rFonts w:ascii="Times New Roman" w:hAnsi="Times New Roman"/>
                <w:color w:val="000000"/>
              </w:rPr>
            </w:pPr>
            <w:r w:rsidRPr="006E10D0">
              <w:rPr>
                <w:rFonts w:ascii="Times New Roman" w:hAnsi="Times New Roman"/>
                <w:color w:val="000000"/>
              </w:rPr>
              <w:t>Фискальная (налоговая) нагрузка, 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13F" w:rsidRPr="006E10D0" w:rsidRDefault="00F0113F" w:rsidP="006E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6E10D0">
              <w:rPr>
                <w:rFonts w:ascii="Times New Roman" w:hAnsi="Times New Roman"/>
                <w:color w:val="000000"/>
              </w:rPr>
              <w:t>26,2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13F" w:rsidRPr="006E10D0" w:rsidRDefault="00F0113F" w:rsidP="006E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6E10D0">
              <w:rPr>
                <w:rFonts w:ascii="Times New Roman" w:hAnsi="Times New Roman"/>
                <w:color w:val="000000"/>
              </w:rPr>
              <w:t>14,7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13F" w:rsidRPr="006E10D0" w:rsidRDefault="00F0113F" w:rsidP="006E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6E10D0">
              <w:rPr>
                <w:rFonts w:ascii="Times New Roman" w:hAnsi="Times New Roman"/>
                <w:color w:val="000000"/>
              </w:rPr>
              <w:t>15,5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13F" w:rsidRPr="006E10D0" w:rsidRDefault="00F0113F" w:rsidP="006E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6E10D0">
              <w:rPr>
                <w:rFonts w:ascii="Times New Roman" w:hAnsi="Times New Roman"/>
                <w:color w:val="000000"/>
              </w:rPr>
              <w:t>17,1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13F" w:rsidRPr="006E10D0" w:rsidRDefault="00F0113F" w:rsidP="006E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6E10D0">
              <w:rPr>
                <w:rFonts w:ascii="Times New Roman" w:hAnsi="Times New Roman"/>
                <w:color w:val="000000"/>
              </w:rPr>
              <w:t>14,1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13F" w:rsidRPr="006E10D0" w:rsidRDefault="00F0113F" w:rsidP="006E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6E10D0">
              <w:rPr>
                <w:rFonts w:ascii="Times New Roman" w:hAnsi="Times New Roman"/>
                <w:color w:val="000000"/>
              </w:rPr>
              <w:t>12,9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13F" w:rsidRPr="006E10D0" w:rsidRDefault="00F0113F" w:rsidP="006E10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6E10D0">
              <w:rPr>
                <w:rFonts w:ascii="Times New Roman" w:hAnsi="Times New Roman"/>
                <w:color w:val="000000"/>
              </w:rPr>
              <w:t>12,0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13F" w:rsidRPr="006E10D0" w:rsidRDefault="00F0113F" w:rsidP="00AB5A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6E10D0">
              <w:rPr>
                <w:rFonts w:ascii="Times New Roman" w:hAnsi="Times New Roman"/>
                <w:color w:val="000000"/>
              </w:rPr>
              <w:t>10,</w:t>
            </w:r>
            <w:r>
              <w:rPr>
                <w:rFonts w:ascii="Times New Roman" w:hAnsi="Times New Roman"/>
                <w:color w:val="000000"/>
              </w:rPr>
              <w:t>5</w:t>
            </w:r>
          </w:p>
        </w:tc>
      </w:tr>
    </w:tbl>
    <w:p w:rsidR="00F0113F" w:rsidRPr="00FC44B3" w:rsidRDefault="00F0113F" w:rsidP="00D272CD">
      <w:pPr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F0113F" w:rsidRPr="00FD11FC" w:rsidRDefault="00F0113F" w:rsidP="004063F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IV</w:t>
      </w:r>
      <w:r>
        <w:rPr>
          <w:rFonts w:ascii="Times New Roman" w:hAnsi="Times New Roman"/>
          <w:sz w:val="28"/>
          <w:szCs w:val="28"/>
        </w:rPr>
        <w:t>. ОЦЕНКА ВЛИЯНИЯ НАЛОГОВЫХ ЛЬГОТ НА НАЛОГОВУЮ НАГРУЗКУ РЫБНОЙ ОТРАСЛИ</w:t>
      </w:r>
    </w:p>
    <w:p w:rsidR="00F0113F" w:rsidRPr="00DF481D" w:rsidRDefault="00F0113F" w:rsidP="0077779B">
      <w:pPr>
        <w:autoSpaceDE w:val="0"/>
        <w:autoSpaceDN w:val="0"/>
        <w:adjustRightInd w:val="0"/>
        <w:ind w:left="1428"/>
        <w:contextualSpacing/>
        <w:jc w:val="both"/>
        <w:rPr>
          <w:rFonts w:ascii="Times New Roman" w:hAnsi="Times New Roman"/>
          <w:sz w:val="28"/>
          <w:szCs w:val="28"/>
        </w:rPr>
      </w:pPr>
    </w:p>
    <w:p w:rsidR="00F0113F" w:rsidRDefault="00F0113F" w:rsidP="0077779B">
      <w:pPr>
        <w:widowControl w:val="0"/>
        <w:autoSpaceDE w:val="0"/>
        <w:autoSpaceDN w:val="0"/>
        <w:adjustRightInd w:val="0"/>
        <w:spacing w:after="26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Фискальная (налоговая) нагрузка на предприятия по виду экономической деятельности «Рыболовство, рыбоводство» существенно изменилась в 2008 – 2014 годах за счет применения налоговых льгот.</w:t>
      </w:r>
    </w:p>
    <w:p w:rsidR="00F0113F" w:rsidRPr="00DF481D" w:rsidRDefault="00F0113F" w:rsidP="0077779B">
      <w:pPr>
        <w:widowControl w:val="0"/>
        <w:autoSpaceDE w:val="0"/>
        <w:autoSpaceDN w:val="0"/>
        <w:adjustRightInd w:val="0"/>
        <w:spacing w:after="26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DF481D">
        <w:rPr>
          <w:rFonts w:ascii="Times New Roman" w:hAnsi="Times New Roman"/>
          <w:sz w:val="28"/>
          <w:szCs w:val="28"/>
        </w:rPr>
        <w:t>В 2008 году для предприятий рыбохозяйственного комплекса были установлены две налоговые льготы системного характера: 1) налоговая льгота при уплате сбора за пользование объектами водных биологических ресурсов; 2) установление налогового режима «Единый сельскохозяйственный налог» для рыбодобывающих предприятий с численностью занятых не более 300 человек.</w:t>
      </w:r>
    </w:p>
    <w:p w:rsidR="00F0113F" w:rsidRPr="00DF481D" w:rsidRDefault="00F0113F" w:rsidP="005F5D4F">
      <w:pPr>
        <w:widowControl w:val="0"/>
        <w:autoSpaceDE w:val="0"/>
        <w:autoSpaceDN w:val="0"/>
        <w:adjustRightInd w:val="0"/>
        <w:spacing w:after="26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DF481D">
        <w:rPr>
          <w:rFonts w:ascii="Times New Roman" w:hAnsi="Times New Roman"/>
          <w:sz w:val="28"/>
          <w:szCs w:val="28"/>
        </w:rPr>
        <w:t xml:space="preserve">Сбор за пользование объектами водных биологических ресурсов был установлен с 1 января 2004 года после введения в действие гл. 25.1 Налогового кодекса. Система взимания сборов за пользование объектами водных биологических ресурсов заменила действовавшую ранее аукционную систему продажи квот на вылов водных биоресурсов в целях промышленного рыболовства. Сбором облагаются объекты водных биоресурсов, право на изъятие которых из среды обитания предоставлено организации или физическому лицу. </w:t>
      </w:r>
    </w:p>
    <w:p w:rsidR="00F0113F" w:rsidRDefault="00F0113F" w:rsidP="0060774E">
      <w:pPr>
        <w:widowControl w:val="0"/>
        <w:autoSpaceDE w:val="0"/>
        <w:autoSpaceDN w:val="0"/>
        <w:adjustRightInd w:val="0"/>
        <w:spacing w:after="26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DF481D">
        <w:rPr>
          <w:rFonts w:ascii="Times New Roman" w:hAnsi="Times New Roman"/>
          <w:sz w:val="28"/>
          <w:szCs w:val="28"/>
        </w:rPr>
        <w:t>В 2008 году в соответствие со статьёй 333.3 Налогового кодекса Российской Федерации была установлена льгота по уплате сбора за пользование объектами водных биологических ресурсов в виде начисления и уплаты сбора в размере 15% от установленной ставки сбора по каждому объекту водных биологических ресурсов.</w:t>
      </w:r>
      <w:r>
        <w:rPr>
          <w:rFonts w:ascii="Times New Roman" w:hAnsi="Times New Roman"/>
          <w:sz w:val="28"/>
          <w:szCs w:val="28"/>
        </w:rPr>
        <w:t>В</w:t>
      </w:r>
      <w:r w:rsidRPr="00DF481D">
        <w:rPr>
          <w:rFonts w:ascii="Times New Roman" w:hAnsi="Times New Roman"/>
          <w:sz w:val="28"/>
          <w:szCs w:val="28"/>
        </w:rPr>
        <w:t>ведение льготы по уплате сбора за пользование объектами водных биологических ресурсов основывалось на анализе применения сбора за пользование объектами водных биологических ресурсов в 2004 – 2008 годах</w:t>
      </w:r>
      <w:r>
        <w:rPr>
          <w:rFonts w:ascii="Times New Roman" w:hAnsi="Times New Roman"/>
          <w:sz w:val="28"/>
          <w:szCs w:val="28"/>
        </w:rPr>
        <w:t>.</w:t>
      </w:r>
    </w:p>
    <w:p w:rsidR="00F0113F" w:rsidRPr="003C714D" w:rsidRDefault="00F0113F" w:rsidP="00F10F6F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DF481D">
        <w:rPr>
          <w:rFonts w:ascii="Times New Roman" w:hAnsi="Times New Roman"/>
          <w:sz w:val="28"/>
          <w:szCs w:val="28"/>
        </w:rPr>
        <w:t xml:space="preserve">В соответствие с отчётными данными ФНС объём поступлений от сбора за пользование объектами водных биологических ресурсов составил в 2009 году 2 047 млн. рублей, в 2010 году – 2 090 млн. рублей, в 2011 году – 2 083 млн. рублей, в 2012 году – 2 029 млн. рублей, в 2013 году – 2 044 млн. рублей. </w:t>
      </w:r>
      <w:r>
        <w:rPr>
          <w:rFonts w:ascii="Times New Roman" w:hAnsi="Times New Roman"/>
          <w:sz w:val="28"/>
          <w:szCs w:val="28"/>
        </w:rPr>
        <w:t>Р</w:t>
      </w:r>
      <w:r w:rsidRPr="00DF481D">
        <w:rPr>
          <w:rFonts w:ascii="Times New Roman" w:hAnsi="Times New Roman"/>
          <w:sz w:val="28"/>
          <w:szCs w:val="28"/>
        </w:rPr>
        <w:t xml:space="preserve">азмер суммы сбора за пользование объектами водных биологических ресурсов, исчисленный исходя из размера ставки 100%, составил в 2009 году – 13,6 млрд. рублей, в 2010 году – 14 млрд. рублей, в 2011 году – 13,9 млрд. рублей, в 2012 году – 13,5 млрд. рублей, в 2013 году – 13,6 млрд. рублей. </w:t>
      </w:r>
      <w:r w:rsidRPr="003C714D">
        <w:rPr>
          <w:rFonts w:ascii="Times New Roman" w:hAnsi="Times New Roman"/>
          <w:b/>
          <w:sz w:val="28"/>
          <w:szCs w:val="28"/>
        </w:rPr>
        <w:t xml:space="preserve">Применение налоговой льготы по уплате сбора за пользование водными биологическими ресурсами привело к снижению налоговой нагрузки более чем на 11 млрд. рублей в год, что сопоставимо с объёмом ежегодных налоговых платежей предприятий по виду экономической деятельности «Рыболовство, рыбоводство». </w:t>
      </w:r>
    </w:p>
    <w:p w:rsidR="00F0113F" w:rsidRPr="00FD11FC" w:rsidRDefault="00F0113F" w:rsidP="0077779B">
      <w:pPr>
        <w:widowControl w:val="0"/>
        <w:autoSpaceDE w:val="0"/>
        <w:autoSpaceDN w:val="0"/>
        <w:adjustRightInd w:val="0"/>
        <w:spacing w:after="36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F0113F" w:rsidRPr="00867424" w:rsidRDefault="00F0113F" w:rsidP="006E10D0">
      <w:pPr>
        <w:widowControl w:val="0"/>
        <w:autoSpaceDE w:val="0"/>
        <w:autoSpaceDN w:val="0"/>
        <w:adjustRightInd w:val="0"/>
        <w:spacing w:after="360"/>
        <w:contextualSpacing/>
        <w:jc w:val="both"/>
        <w:rPr>
          <w:rFonts w:ascii="Times New Roman" w:hAnsi="Times New Roman"/>
          <w:sz w:val="28"/>
          <w:szCs w:val="28"/>
        </w:rPr>
      </w:pPr>
      <w:r w:rsidRPr="00867424">
        <w:rPr>
          <w:rFonts w:ascii="Times New Roman" w:hAnsi="Times New Roman"/>
          <w:sz w:val="28"/>
          <w:szCs w:val="28"/>
        </w:rPr>
        <w:t xml:space="preserve">Таблица </w:t>
      </w:r>
      <w:r>
        <w:rPr>
          <w:rFonts w:ascii="Times New Roman" w:hAnsi="Times New Roman"/>
          <w:sz w:val="28"/>
          <w:szCs w:val="28"/>
        </w:rPr>
        <w:t>8</w:t>
      </w:r>
      <w:r w:rsidRPr="0086742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Эффект налоговой льготы при уплате сбора за пользование водными биоресурсами,</w:t>
      </w:r>
      <w:r w:rsidRPr="00867424">
        <w:rPr>
          <w:rFonts w:ascii="Times New Roman" w:hAnsi="Times New Roman"/>
          <w:sz w:val="28"/>
          <w:szCs w:val="28"/>
        </w:rPr>
        <w:t xml:space="preserve"> 2005-2014 гг, млн руб</w:t>
      </w:r>
      <w:r>
        <w:rPr>
          <w:rStyle w:val="FootnoteReference"/>
          <w:rFonts w:ascii="Times New Roman" w:hAnsi="Times New Roman"/>
          <w:sz w:val="28"/>
          <w:szCs w:val="28"/>
        </w:rPr>
        <w:footnoteReference w:id="11"/>
      </w:r>
    </w:p>
    <w:tbl>
      <w:tblPr>
        <w:tblW w:w="9654" w:type="dxa"/>
        <w:tblInd w:w="93" w:type="dxa"/>
        <w:tblLayout w:type="fixed"/>
        <w:tblLook w:val="00A0"/>
      </w:tblPr>
      <w:tblGrid>
        <w:gridCol w:w="1858"/>
        <w:gridCol w:w="711"/>
        <w:gridCol w:w="848"/>
        <w:gridCol w:w="711"/>
        <w:gridCol w:w="707"/>
        <w:gridCol w:w="850"/>
        <w:gridCol w:w="766"/>
        <w:gridCol w:w="793"/>
        <w:gridCol w:w="766"/>
        <w:gridCol w:w="794"/>
        <w:gridCol w:w="850"/>
      </w:tblGrid>
      <w:tr w:rsidR="00F0113F" w:rsidRPr="00A77117" w:rsidTr="00B05D91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13F" w:rsidRPr="005D190F" w:rsidRDefault="00F0113F" w:rsidP="00B05D9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D190F">
              <w:rPr>
                <w:rFonts w:ascii="Times New Roman" w:hAnsi="Times New Roman"/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13F" w:rsidRPr="005D190F" w:rsidRDefault="00F0113F" w:rsidP="00B05D9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D190F">
              <w:rPr>
                <w:rFonts w:ascii="Times New Roman" w:hAnsi="Times New Roman"/>
                <w:color w:val="000000"/>
                <w:sz w:val="22"/>
                <w:szCs w:val="22"/>
              </w:rPr>
              <w:t>2005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13F" w:rsidRPr="005D190F" w:rsidRDefault="00F0113F" w:rsidP="00B05D9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D190F">
              <w:rPr>
                <w:rFonts w:ascii="Times New Roman" w:hAnsi="Times New Roman"/>
                <w:color w:val="000000"/>
                <w:sz w:val="22"/>
                <w:szCs w:val="22"/>
              </w:rPr>
              <w:t>2006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13F" w:rsidRPr="005D190F" w:rsidRDefault="00F0113F" w:rsidP="00B05D9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D190F">
              <w:rPr>
                <w:rFonts w:ascii="Times New Roman" w:hAnsi="Times New Roman"/>
                <w:color w:val="000000"/>
                <w:sz w:val="22"/>
                <w:szCs w:val="22"/>
              </w:rPr>
              <w:t>2007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13F" w:rsidRPr="005D190F" w:rsidRDefault="00F0113F" w:rsidP="00B05D9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D190F">
              <w:rPr>
                <w:rFonts w:ascii="Times New Roman" w:hAnsi="Times New Roman"/>
                <w:color w:val="000000"/>
                <w:sz w:val="22"/>
                <w:szCs w:val="22"/>
              </w:rPr>
              <w:t>2008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13F" w:rsidRPr="005D190F" w:rsidRDefault="00F0113F" w:rsidP="00B05D9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D190F">
              <w:rPr>
                <w:rFonts w:ascii="Times New Roman" w:hAnsi="Times New Roman"/>
                <w:color w:val="000000"/>
                <w:sz w:val="22"/>
                <w:szCs w:val="22"/>
              </w:rPr>
              <w:t>2009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13F" w:rsidRPr="005D190F" w:rsidRDefault="00F0113F" w:rsidP="00B05D9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D190F">
              <w:rPr>
                <w:rFonts w:ascii="Times New Roman" w:hAnsi="Times New Roman"/>
                <w:color w:val="000000"/>
                <w:sz w:val="22"/>
                <w:szCs w:val="22"/>
              </w:rPr>
              <w:t>2010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13F" w:rsidRPr="005D190F" w:rsidRDefault="00F0113F" w:rsidP="00B05D9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D190F">
              <w:rPr>
                <w:rFonts w:ascii="Times New Roman" w:hAnsi="Times New Roman"/>
                <w:color w:val="000000"/>
                <w:sz w:val="22"/>
                <w:szCs w:val="22"/>
              </w:rPr>
              <w:t>2011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13F" w:rsidRPr="005D190F" w:rsidRDefault="00F0113F" w:rsidP="00B05D9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D190F">
              <w:rPr>
                <w:rFonts w:ascii="Times New Roman" w:hAnsi="Times New Roman"/>
                <w:color w:val="000000"/>
                <w:sz w:val="22"/>
                <w:szCs w:val="22"/>
              </w:rPr>
              <w:t>2012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13F" w:rsidRPr="005D190F" w:rsidRDefault="00F0113F" w:rsidP="00B05D9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D190F">
              <w:rPr>
                <w:rFonts w:ascii="Times New Roman" w:hAnsi="Times New Roman"/>
                <w:color w:val="000000"/>
                <w:sz w:val="22"/>
                <w:szCs w:val="22"/>
              </w:rPr>
              <w:t>2013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13F" w:rsidRPr="005D190F" w:rsidRDefault="00F0113F" w:rsidP="00B05D9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D190F">
              <w:rPr>
                <w:rFonts w:ascii="Times New Roman" w:hAnsi="Times New Roman"/>
                <w:color w:val="000000"/>
                <w:sz w:val="22"/>
                <w:szCs w:val="22"/>
              </w:rPr>
              <w:t>2014</w:t>
            </w:r>
          </w:p>
        </w:tc>
      </w:tr>
      <w:tr w:rsidR="00F0113F" w:rsidRPr="00A77117" w:rsidTr="00B05D91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13F" w:rsidRPr="005D190F" w:rsidRDefault="00F0113F" w:rsidP="00B05D9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D190F">
              <w:rPr>
                <w:rFonts w:ascii="Times New Roman" w:hAnsi="Times New Roman"/>
                <w:color w:val="000000"/>
                <w:sz w:val="22"/>
                <w:szCs w:val="22"/>
              </w:rPr>
              <w:t>Льгота по уплате сбора за ВБР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13F" w:rsidRPr="005D190F" w:rsidRDefault="00F0113F" w:rsidP="00B05D9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  <w:r w:rsidRPr="005D190F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13F" w:rsidRPr="005D190F" w:rsidRDefault="00F0113F" w:rsidP="00B05D9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D190F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13F" w:rsidRPr="005D190F" w:rsidRDefault="00F0113F" w:rsidP="00B05D9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D190F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13F" w:rsidRPr="005D190F" w:rsidRDefault="00F0113F" w:rsidP="00B05D9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D190F">
              <w:rPr>
                <w:rFonts w:ascii="Times New Roman" w:hAnsi="Times New Roman"/>
                <w:color w:val="000000"/>
                <w:sz w:val="22"/>
                <w:szCs w:val="22"/>
              </w:rPr>
              <w:t>9539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13F" w:rsidRPr="005D190F" w:rsidRDefault="00F0113F" w:rsidP="00B05D9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D190F">
              <w:rPr>
                <w:rFonts w:ascii="Times New Roman" w:hAnsi="Times New Roman"/>
                <w:color w:val="000000"/>
                <w:sz w:val="22"/>
                <w:szCs w:val="22"/>
              </w:rPr>
              <w:t>11600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13F" w:rsidRPr="005D190F" w:rsidRDefault="00F0113F" w:rsidP="00B05D9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D190F">
              <w:rPr>
                <w:rFonts w:ascii="Times New Roman" w:hAnsi="Times New Roman"/>
                <w:color w:val="000000"/>
                <w:sz w:val="22"/>
                <w:szCs w:val="22"/>
              </w:rPr>
              <w:t>11845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13F" w:rsidRPr="005D190F" w:rsidRDefault="00F0113F" w:rsidP="00B05D9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D190F">
              <w:rPr>
                <w:rFonts w:ascii="Times New Roman" w:hAnsi="Times New Roman"/>
                <w:color w:val="000000"/>
                <w:sz w:val="22"/>
                <w:szCs w:val="22"/>
              </w:rPr>
              <w:t>11829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13F" w:rsidRPr="005D190F" w:rsidRDefault="00F0113F" w:rsidP="00B05D9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D190F">
              <w:rPr>
                <w:rFonts w:ascii="Times New Roman" w:hAnsi="Times New Roman"/>
                <w:color w:val="000000"/>
                <w:sz w:val="22"/>
                <w:szCs w:val="22"/>
              </w:rPr>
              <w:t>11497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13F" w:rsidRPr="005D190F" w:rsidRDefault="00F0113F" w:rsidP="00B05D9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D190F">
              <w:rPr>
                <w:rFonts w:ascii="Times New Roman" w:hAnsi="Times New Roman"/>
                <w:color w:val="000000"/>
                <w:sz w:val="22"/>
                <w:szCs w:val="22"/>
              </w:rPr>
              <w:t>11583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13F" w:rsidRPr="005D190F" w:rsidRDefault="00F0113F" w:rsidP="00B05D9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D190F">
              <w:rPr>
                <w:rFonts w:ascii="Times New Roman" w:hAnsi="Times New Roman"/>
                <w:color w:val="000000"/>
                <w:sz w:val="22"/>
                <w:szCs w:val="22"/>
              </w:rPr>
              <w:t>11767</w:t>
            </w:r>
          </w:p>
        </w:tc>
      </w:tr>
    </w:tbl>
    <w:p w:rsidR="00F0113F" w:rsidRDefault="00F0113F" w:rsidP="00272062">
      <w:pPr>
        <w:widowControl w:val="0"/>
        <w:autoSpaceDE w:val="0"/>
        <w:autoSpaceDN w:val="0"/>
        <w:adjustRightInd w:val="0"/>
        <w:spacing w:after="36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F0113F" w:rsidRDefault="00F0113F" w:rsidP="00272062">
      <w:pPr>
        <w:widowControl w:val="0"/>
        <w:autoSpaceDE w:val="0"/>
        <w:autoSpaceDN w:val="0"/>
        <w:adjustRightInd w:val="0"/>
        <w:spacing w:after="36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Второй системной налоговой льготой является применение налогового режима «Единый сельскохозяйственный налог». </w:t>
      </w:r>
    </w:p>
    <w:p w:rsidR="00F0113F" w:rsidRDefault="00F0113F" w:rsidP="0060774E">
      <w:pPr>
        <w:widowControl w:val="0"/>
        <w:autoSpaceDE w:val="0"/>
        <w:autoSpaceDN w:val="0"/>
        <w:adjustRightInd w:val="0"/>
        <w:spacing w:after="36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272062">
        <w:rPr>
          <w:rFonts w:ascii="Times New Roman" w:hAnsi="Times New Roman"/>
          <w:sz w:val="28"/>
          <w:szCs w:val="28"/>
        </w:rPr>
        <w:t>ЕСХН (Единый сельскохозяйственный налог) — замена уплаты налога на прибыль организаций, НДС (за исключением налога, подлежащего уплате в соответствии с НК и ТК РФ) и налога на имущество организаций и страховых взносов</w:t>
      </w:r>
      <w:r>
        <w:rPr>
          <w:rFonts w:ascii="Times New Roman" w:hAnsi="Times New Roman"/>
          <w:sz w:val="28"/>
          <w:szCs w:val="28"/>
        </w:rPr>
        <w:t>, установленная главой 26.1 Налогового кодекса Российской Федерации.</w:t>
      </w:r>
      <w:r w:rsidRPr="00272062">
        <w:rPr>
          <w:rFonts w:ascii="Times New Roman" w:hAnsi="Times New Roman"/>
          <w:sz w:val="28"/>
          <w:szCs w:val="28"/>
        </w:rPr>
        <w:t>Объектом налогообложения являются доходы и расходы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272062">
        <w:rPr>
          <w:rFonts w:ascii="Times New Roman" w:hAnsi="Times New Roman"/>
          <w:sz w:val="28"/>
          <w:szCs w:val="28"/>
        </w:rPr>
        <w:t>редприятия</w:t>
      </w:r>
      <w:r>
        <w:rPr>
          <w:rFonts w:ascii="Times New Roman" w:hAnsi="Times New Roman"/>
          <w:sz w:val="28"/>
          <w:szCs w:val="28"/>
        </w:rPr>
        <w:t>, разница между которымиоблагается налогом по ставке 6%.</w:t>
      </w:r>
    </w:p>
    <w:p w:rsidR="00F0113F" w:rsidRDefault="00F0113F" w:rsidP="000200D9">
      <w:pPr>
        <w:widowControl w:val="0"/>
        <w:autoSpaceDE w:val="0"/>
        <w:autoSpaceDN w:val="0"/>
        <w:adjustRightInd w:val="0"/>
        <w:spacing w:after="36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период с 2008 по 2010 годы объём поступлений в рамках налогового режима «Единый сельскохозяйственный налог» (ЕСХН) возрос в 5,1 раза – со 150 млн. рублей до 769 млн. рублей. Одновременно количество предприятий, использующих налоговый режим ЕСХН, возросло почти вдвое – с 898 предприятий до 1 557 предприятий. Количество плательщиков ЕСХН возросло на 73,4%, а их налоговые поступления увеличились в 5,1 раза. </w:t>
      </w:r>
    </w:p>
    <w:p w:rsidR="00F0113F" w:rsidRDefault="00F0113F" w:rsidP="000200D9">
      <w:pPr>
        <w:widowControl w:val="0"/>
        <w:autoSpaceDE w:val="0"/>
        <w:autoSpaceDN w:val="0"/>
        <w:adjustRightInd w:val="0"/>
        <w:spacing w:after="36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2009 году налоговый режим ЕСХН использовали предприятий, объём выручки которых составлял 2,5 млрд. рублей. В 2010 году предприятия, использующие налоговый режим «ЕСХН», получили выручку в размере 12,8 млрд. рублей. </w:t>
      </w:r>
    </w:p>
    <w:p w:rsidR="00F0113F" w:rsidRDefault="00F0113F" w:rsidP="000200D9">
      <w:pPr>
        <w:widowControl w:val="0"/>
        <w:autoSpaceDE w:val="0"/>
        <w:autoSpaceDN w:val="0"/>
        <w:adjustRightInd w:val="0"/>
        <w:spacing w:after="36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Значительное увеличение предприятий, использующих налоговый режим ЕСХН, происходит в 2010 – 2013 годах – с 1 557 предприятий до 1 885 предприятий. В 2010 – 2013 годы поступления возросли в 1,8 раза – с 769 млн. рублей до 1 351 млн. рублей. Количество плательщиков ЕСХН возросло на 21%, а их налоговые поступления увеличились на 75,6%.   </w:t>
      </w:r>
    </w:p>
    <w:p w:rsidR="00F0113F" w:rsidRDefault="00F0113F" w:rsidP="000200D9">
      <w:pPr>
        <w:widowControl w:val="0"/>
        <w:autoSpaceDE w:val="0"/>
        <w:autoSpaceDN w:val="0"/>
        <w:adjustRightInd w:val="0"/>
        <w:spacing w:after="36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Резкое – на 44% – увеличение поступлений от ЕСХН произошло в 2014 году, составив 1 943 млн. рублей.      </w:t>
      </w:r>
    </w:p>
    <w:p w:rsidR="00F0113F" w:rsidRPr="00731D86" w:rsidRDefault="00F0113F" w:rsidP="000200D9">
      <w:pPr>
        <w:widowControl w:val="0"/>
        <w:autoSpaceDE w:val="0"/>
        <w:autoSpaceDN w:val="0"/>
        <w:adjustRightInd w:val="0"/>
        <w:spacing w:after="36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Значительно возросла доля поступлений от ЕСХН в общем объёме налоговых поступлений предприятий по виду экономической деятельности «Рыболовство». В 2008 году соответствующая доля составляла 1,8%, в 2014 году – 18,5%. В настоящее время налоговый режим «Единый сельскохозяйственный налог» используют 1 951 предприятие по виду экономической деятельности «Рыболовство, рыбоводство». Соответственно, выручка этих предприятий в 2014 году составила свыше 33 млрд. рублей. Следовательно, если в 2009 году под действие налогового режима ЕСХН попадало 3,2% отраслевой выручки, то в 2014 году – уже 23,2%. </w:t>
      </w:r>
    </w:p>
    <w:p w:rsidR="00F0113F" w:rsidRPr="003C714D" w:rsidRDefault="00F0113F" w:rsidP="000200D9">
      <w:pPr>
        <w:widowControl w:val="0"/>
        <w:autoSpaceDE w:val="0"/>
        <w:autoSpaceDN w:val="0"/>
        <w:adjustRightInd w:val="0"/>
        <w:spacing w:after="360"/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3C714D">
        <w:rPr>
          <w:rFonts w:ascii="Times New Roman" w:hAnsi="Times New Roman"/>
          <w:b/>
          <w:sz w:val="28"/>
          <w:szCs w:val="28"/>
        </w:rPr>
        <w:t>Применение налогового режима «Единый сельскохозяйственный налог» привело к существенному сокращению поступлений по налогу на прибыль и налогу на имущество.</w:t>
      </w:r>
    </w:p>
    <w:p w:rsidR="00F0113F" w:rsidRDefault="00F0113F" w:rsidP="000200D9">
      <w:pPr>
        <w:widowControl w:val="0"/>
        <w:autoSpaceDE w:val="0"/>
        <w:autoSpaceDN w:val="0"/>
        <w:adjustRightInd w:val="0"/>
        <w:spacing w:after="36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частности, в 2009 сальдированный финансовый результат предприятий по виду экономической деятельности «Рыболовство» составил 10,8 млрд. рублей, увеличившись по сравнению с предыдущим годом в шесть раз, однако поступления по налогу на прибыль наоборот сократились с 1 639 млн. рублей до 1 355 млн. рублей – на 17,3%. Затем, в 2010 году сальдированный финансовый результат увеличился всего на 6,5% – с 10,8 млрд. рублей до 11,5 млрд. рублей, однако поступления по налогу на прибыль возросли на 43,6% – с 1 355 млн. рублей до 1 946 млн. рублей. Но затем, к 2013 году сальдированный финансовый результат увеличился вдвое до 23 млрд. рублей, однако поступления по налогу на прибыль снизились на 41,1% – с 1 946 млн. рублей до 1 146 млн. рублей. </w:t>
      </w:r>
    </w:p>
    <w:p w:rsidR="00F0113F" w:rsidRDefault="00F0113F" w:rsidP="000200D9">
      <w:pPr>
        <w:widowControl w:val="0"/>
        <w:autoSpaceDE w:val="0"/>
        <w:autoSpaceDN w:val="0"/>
        <w:adjustRightInd w:val="0"/>
        <w:spacing w:after="36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Существенное сокращение поступлений по налогу на прибыль обусловлено переходом значительной части предприятий на налоговый режим «Единый сельскохозяйственный налог». </w:t>
      </w:r>
    </w:p>
    <w:p w:rsidR="00F0113F" w:rsidRDefault="00F0113F" w:rsidP="00F00182">
      <w:pPr>
        <w:widowControl w:val="0"/>
        <w:autoSpaceDE w:val="0"/>
        <w:autoSpaceDN w:val="0"/>
        <w:adjustRightInd w:val="0"/>
        <w:spacing w:after="36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F0113F" w:rsidRPr="00FD11FC" w:rsidRDefault="00F0113F" w:rsidP="00FD11FC">
      <w:pPr>
        <w:widowControl w:val="0"/>
        <w:autoSpaceDE w:val="0"/>
        <w:autoSpaceDN w:val="0"/>
        <w:adjustRightInd w:val="0"/>
        <w:spacing w:after="3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 xml:space="preserve">. ПРОГНОЗИРУЕМЫЕ ПОСЛЕДСТВИЯ </w:t>
      </w:r>
      <w:r w:rsidRPr="00FD11FC">
        <w:rPr>
          <w:rFonts w:ascii="Times New Roman" w:hAnsi="Times New Roman"/>
          <w:sz w:val="28"/>
          <w:szCs w:val="28"/>
        </w:rPr>
        <w:t>ВНЕСЕНИЯ ИЗМЕНЕНИЙ В НАЛОГОВЫЙ КОДЕКС РОССИЙСКОЙ ФЕДЕРАЦИИ</w:t>
      </w:r>
    </w:p>
    <w:p w:rsidR="00F0113F" w:rsidRPr="00FD11FC" w:rsidRDefault="00F0113F" w:rsidP="0077779B">
      <w:pPr>
        <w:widowControl w:val="0"/>
        <w:autoSpaceDE w:val="0"/>
        <w:autoSpaceDN w:val="0"/>
        <w:adjustRightInd w:val="0"/>
        <w:spacing w:after="36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F0113F" w:rsidRDefault="00F0113F" w:rsidP="006028D0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период с 2008 года предприятия по виду экономической деятельности «Рыболовство» показывают устойчивый рост выручки, который сопровождается значительными колебаниями сальдированного финансового результата.</w:t>
      </w:r>
    </w:p>
    <w:p w:rsidR="00F0113F" w:rsidRDefault="00F0113F" w:rsidP="006028D0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Выручка предприятий составила в 2008 году 66 млрд. рублей, в 2009 году – 77,9 млрд. рублей (прирост на 18%), в 2010 году – 82,1 млрд. рублей (прирост 5,3%), в 2011 году – 98,6 млрд. рублей (прирост 20%), в 2012 году – 110,7 млрд. рублей (прирост 12,3%), в 2013 году – 115,7 млрд. рублей (прирост 4,5%), в 2014 году – 142 млрд. рублей (прирост – 22,7%). Среднегодовой прирост отраслевой выручки в 2008 – 2014 годах составил 19,2%.</w:t>
      </w:r>
    </w:p>
    <w:p w:rsidR="00F0113F" w:rsidRDefault="00F0113F" w:rsidP="006028D0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январь – август 2015 года выручка предприятий составила 94 млрд. рублей, что позволяет </w:t>
      </w:r>
      <w:r w:rsidRPr="003C1CB2">
        <w:rPr>
          <w:rFonts w:ascii="Times New Roman" w:hAnsi="Times New Roman"/>
          <w:b/>
          <w:sz w:val="28"/>
          <w:szCs w:val="28"/>
        </w:rPr>
        <w:t>прогнозировать объём денежной выручки по итогам 2015 года в размере 165-170 млрд рублей</w:t>
      </w:r>
      <w:r>
        <w:rPr>
          <w:rFonts w:ascii="Times New Roman" w:hAnsi="Times New Roman"/>
          <w:sz w:val="28"/>
          <w:szCs w:val="28"/>
        </w:rPr>
        <w:t>.</w:t>
      </w:r>
    </w:p>
    <w:p w:rsidR="00F0113F" w:rsidRDefault="00F0113F" w:rsidP="00F442DB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2010 году – следующем после резкого увеличения курса доллара – произошло существенное торможение ежегодного прироста отраслевой выручки: в 2009 году прирост отраслевой выручки составил 18%, в 2010 году – 5%. С учётом подобной закономерности можно оценить </w:t>
      </w:r>
      <w:r w:rsidRPr="008B575A">
        <w:rPr>
          <w:rFonts w:ascii="Times New Roman" w:hAnsi="Times New Roman"/>
          <w:b/>
          <w:sz w:val="28"/>
          <w:szCs w:val="28"/>
        </w:rPr>
        <w:t>прогнозируемый по итогам 2016 года объём денежной выручки в 178 – 180 млрд. рублей</w:t>
      </w:r>
      <w:r>
        <w:rPr>
          <w:rFonts w:ascii="Times New Roman" w:hAnsi="Times New Roman"/>
          <w:sz w:val="28"/>
          <w:szCs w:val="28"/>
        </w:rPr>
        <w:t xml:space="preserve">.  </w:t>
      </w:r>
    </w:p>
    <w:p w:rsidR="00F0113F" w:rsidRPr="0069745F" w:rsidRDefault="00F0113F" w:rsidP="00D352D6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учётом законодательных норм изменения в налоговое законодательство, предусмотренные поручением 1а Перечня поручений Президента Российской Федерации от 9 ноября 2015 года №Пр-2338ГС, могут вступить в силу не ранее 1 января 2017 года. Поэтому для оценки возможных финансово-экономических последствий указанных изменений используются полученные экспертным путём расчёты, основанные на изучении сложившихся в 2007 – 2014 годах трендов (график 2 и таблица 9).</w:t>
      </w:r>
    </w:p>
    <w:p w:rsidR="00F0113F" w:rsidRDefault="00F0113F" w:rsidP="00D352D6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0113F" w:rsidRDefault="00F0113F" w:rsidP="00D352D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  <w:t>График 2</w:t>
      </w:r>
      <w:r>
        <w:rPr>
          <w:rStyle w:val="FootnoteReference"/>
          <w:rFonts w:ascii="Times New Roman" w:hAnsi="Times New Roman"/>
          <w:sz w:val="28"/>
          <w:szCs w:val="28"/>
        </w:rPr>
        <w:footnoteReference w:id="12"/>
      </w:r>
    </w:p>
    <w:p w:rsidR="00F0113F" w:rsidRDefault="00F0113F" w:rsidP="0066099F">
      <w:pPr>
        <w:jc w:val="both"/>
        <w:rPr>
          <w:rFonts w:ascii="Times New Roman" w:hAnsi="Times New Roman"/>
          <w:sz w:val="28"/>
          <w:szCs w:val="28"/>
        </w:rPr>
      </w:pPr>
      <w:r w:rsidRPr="00C87E82">
        <w:rPr>
          <w:noProof/>
        </w:rPr>
        <w:object w:dxaOrig="9390" w:dyaOrig="6433">
          <v:shape id="Диаграмма 5" o:spid="_x0000_i1026" type="#_x0000_t75" style="width:469.3pt;height:321.45pt;visibility:visible" o:ole="">
            <v:imagedata r:id="rId10" o:title=""/>
            <o:lock v:ext="edit" aspectratio="f"/>
          </v:shape>
          <o:OLEObject Type="Embed" ProgID="Excel.Chart.8" ShapeID="Диаграмма 5" DrawAspect="Content" ObjectID="_1520932572" r:id="rId11"/>
        </w:object>
      </w:r>
    </w:p>
    <w:p w:rsidR="00F0113F" w:rsidRDefault="00F0113F" w:rsidP="00D352D6">
      <w:pPr>
        <w:rPr>
          <w:rFonts w:ascii="Times New Roman" w:hAnsi="Times New Roman"/>
          <w:sz w:val="28"/>
          <w:szCs w:val="28"/>
        </w:rPr>
      </w:pPr>
    </w:p>
    <w:p w:rsidR="00F0113F" w:rsidRDefault="00F0113F" w:rsidP="0066099F">
      <w:pPr>
        <w:jc w:val="both"/>
        <w:rPr>
          <w:rFonts w:ascii="Times New Roman" w:hAnsi="Times New Roman"/>
          <w:sz w:val="28"/>
          <w:szCs w:val="28"/>
        </w:rPr>
      </w:pPr>
    </w:p>
    <w:p w:rsidR="00F0113F" w:rsidRPr="00C27F5F" w:rsidRDefault="00F0113F" w:rsidP="006028D0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27F5F">
        <w:rPr>
          <w:rFonts w:ascii="Times New Roman" w:hAnsi="Times New Roman"/>
          <w:b/>
          <w:sz w:val="28"/>
          <w:szCs w:val="28"/>
        </w:rPr>
        <w:t>Фискальная нагрузка в 2017 году будет складываться из всех действующих налогов и сборов с учётом изменения структуры налоговых платежей</w:t>
      </w:r>
      <w:r w:rsidRPr="00C27F5F">
        <w:rPr>
          <w:rStyle w:val="FootnoteReference"/>
          <w:rFonts w:ascii="Times New Roman" w:hAnsi="Times New Roman"/>
          <w:b/>
          <w:sz w:val="28"/>
          <w:szCs w:val="28"/>
        </w:rPr>
        <w:footnoteReference w:id="13"/>
      </w:r>
      <w:r w:rsidRPr="00C27F5F">
        <w:rPr>
          <w:rFonts w:ascii="Times New Roman" w:hAnsi="Times New Roman"/>
          <w:b/>
          <w:sz w:val="28"/>
          <w:szCs w:val="28"/>
        </w:rPr>
        <w:t xml:space="preserve">. </w:t>
      </w:r>
    </w:p>
    <w:p w:rsidR="00F0113F" w:rsidRDefault="00F0113F" w:rsidP="006028D0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учётом структуры выпуска продукции оценочный показатель сборов за пользование объектами водных биологических ресурсов составит 70% от общего начисляемого объёма – 9,7 млрд. рублей (при сохранении неизменными общих допустимых уловов и возможного вылова, а также с учётом сохранения льготы для некоторых категорий предприятий).Следовательно, за счёт отмены соответствующей льготы произойдёт увеличение налоговой нагрузки на 7 – 7,5 млрд. рублей. </w:t>
      </w:r>
    </w:p>
    <w:p w:rsidR="00F0113F" w:rsidRDefault="00F0113F" w:rsidP="006028D0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Структура фискальной нагрузки в 2017 году будет следующей: сбор за пользование объектами водных биологических ресурсов – 9,7 млрд. рублей, налог на прибыль – 2 млрд. рублей, налог на имущество – 1 млрд. рублей, страховые взносы – 6,5 млрд. рублей. </w:t>
      </w:r>
    </w:p>
    <w:p w:rsidR="00F0113F" w:rsidRPr="00C32547" w:rsidRDefault="00F0113F" w:rsidP="00C32547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32547">
        <w:rPr>
          <w:rFonts w:ascii="Times New Roman" w:hAnsi="Times New Roman"/>
          <w:sz w:val="28"/>
          <w:szCs w:val="28"/>
        </w:rPr>
        <w:t xml:space="preserve">Отмена налогового режима «Единый сельскохозяйственный налог» приведет к увеличению поступлений по налогу на прибыль и налогу на имущество. </w:t>
      </w:r>
    </w:p>
    <w:p w:rsidR="00F0113F" w:rsidRPr="00C27F5F" w:rsidRDefault="00F0113F" w:rsidP="00C32547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32547">
        <w:rPr>
          <w:rFonts w:ascii="Times New Roman" w:hAnsi="Times New Roman"/>
          <w:sz w:val="28"/>
          <w:szCs w:val="28"/>
        </w:rPr>
        <w:t xml:space="preserve">Поступления от налогового режима «Единый сельскохозяйственный налог» сократятся с 1,9 млрд. рублей до 0,5 млрд. рублей, таможенные пошлины </w:t>
      </w:r>
      <w:r>
        <w:rPr>
          <w:rFonts w:ascii="Times New Roman" w:hAnsi="Times New Roman"/>
          <w:sz w:val="28"/>
          <w:szCs w:val="28"/>
        </w:rPr>
        <w:t>в 2017 году будут взиматься по ставке 1,25% от таможенной стоимости, что при курсе рубля к доллару 65:1 составит объём 1,7-1,8 млрд рублей.</w:t>
      </w:r>
      <w:r w:rsidRPr="00C32547">
        <w:rPr>
          <w:rFonts w:ascii="Times New Roman" w:hAnsi="Times New Roman"/>
          <w:sz w:val="28"/>
          <w:szCs w:val="28"/>
        </w:rPr>
        <w:t xml:space="preserve"> Следовательно, </w:t>
      </w:r>
      <w:r w:rsidRPr="00C27F5F">
        <w:rPr>
          <w:rFonts w:ascii="Times New Roman" w:hAnsi="Times New Roman"/>
          <w:b/>
          <w:sz w:val="28"/>
          <w:szCs w:val="28"/>
        </w:rPr>
        <w:t xml:space="preserve">совокупная фискальная нагрузка </w:t>
      </w:r>
      <w:r>
        <w:rPr>
          <w:rFonts w:ascii="Times New Roman" w:hAnsi="Times New Roman"/>
          <w:b/>
          <w:sz w:val="28"/>
          <w:szCs w:val="28"/>
        </w:rPr>
        <w:t xml:space="preserve">в 2017 году </w:t>
      </w:r>
      <w:r w:rsidRPr="00C27F5F">
        <w:rPr>
          <w:rFonts w:ascii="Times New Roman" w:hAnsi="Times New Roman"/>
          <w:b/>
          <w:sz w:val="28"/>
          <w:szCs w:val="28"/>
        </w:rPr>
        <w:t>составит 21,4-21,5 млрд. рублей, что будет составлять 12,6% отраслевой выручки.</w:t>
      </w:r>
    </w:p>
    <w:p w:rsidR="00F0113F" w:rsidRDefault="00F0113F" w:rsidP="00540F56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</w:rPr>
      </w:pPr>
      <w:r w:rsidRPr="00C27F5F">
        <w:rPr>
          <w:rFonts w:ascii="Times New Roman" w:hAnsi="Times New Roman"/>
          <w:b/>
          <w:sz w:val="28"/>
          <w:szCs w:val="28"/>
        </w:rPr>
        <w:t>В соответствии с методологией ФНС</w:t>
      </w:r>
      <w:r w:rsidRPr="004E016B">
        <w:rPr>
          <w:rFonts w:ascii="Times New Roman" w:hAnsi="Times New Roman"/>
          <w:sz w:val="28"/>
          <w:szCs w:val="28"/>
        </w:rPr>
        <w:t xml:space="preserve"> в результате отмены действующих льгот при уплате сбора за пользование объектами водных биологических ресурсов и единого сельскохозяйственного налога </w:t>
      </w:r>
      <w:r w:rsidRPr="00C27F5F">
        <w:rPr>
          <w:rFonts w:ascii="Times New Roman" w:hAnsi="Times New Roman"/>
          <w:b/>
          <w:sz w:val="28"/>
          <w:szCs w:val="28"/>
        </w:rPr>
        <w:t>налоговая нагрузка возрастёт с 6,2% до 10,6%</w:t>
      </w:r>
      <w:r w:rsidRPr="004E016B">
        <w:rPr>
          <w:rFonts w:ascii="Times New Roman" w:hAnsi="Times New Roman"/>
          <w:sz w:val="28"/>
          <w:szCs w:val="28"/>
        </w:rPr>
        <w:t xml:space="preserve"> – на 4,2 процентных пункта. По расчётам экспертов ФБК, повышение будет менее значительным, так как эксперты ФБК считают заниженной существующую оценку налоговой нагрузки: предполагается, что налоговая нагрузка возрастёт с 8,3% до 10,9% – на 2,7 процентных пункта. Расчёты экспертов Комиссии РСПП по рыбному хозяйству и аквакультуре оценивают возможное увеличение </w:t>
      </w:r>
      <w:r>
        <w:rPr>
          <w:rFonts w:ascii="Times New Roman" w:hAnsi="Times New Roman"/>
          <w:sz w:val="28"/>
          <w:szCs w:val="28"/>
        </w:rPr>
        <w:t>до 12,6% - на 2,1 процентных пункта.</w:t>
      </w:r>
    </w:p>
    <w:p w:rsidR="00F0113F" w:rsidRDefault="00F0113F" w:rsidP="004E016B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F0113F" w:rsidRPr="006028D0" w:rsidRDefault="00F0113F" w:rsidP="0077779B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</w:rPr>
      </w:pPr>
      <w:r w:rsidRPr="006028D0">
        <w:rPr>
          <w:rFonts w:ascii="Times New Roman" w:hAnsi="Times New Roman"/>
          <w:sz w:val="28"/>
          <w:szCs w:val="28"/>
        </w:rPr>
        <w:t>Таблица 10</w:t>
      </w:r>
      <w:r>
        <w:rPr>
          <w:rFonts w:ascii="Times New Roman" w:hAnsi="Times New Roman"/>
          <w:sz w:val="28"/>
          <w:szCs w:val="28"/>
        </w:rPr>
        <w:t xml:space="preserve"> Р</w:t>
      </w:r>
      <w:r w:rsidRPr="006028D0">
        <w:rPr>
          <w:rFonts w:ascii="Times New Roman" w:hAnsi="Times New Roman"/>
          <w:sz w:val="28"/>
          <w:szCs w:val="28"/>
        </w:rPr>
        <w:t>асчёты прогнозируемой фискальной (налоговой) нагрузки, в %</w:t>
      </w:r>
      <w:r>
        <w:rPr>
          <w:rStyle w:val="FootnoteReference"/>
          <w:rFonts w:ascii="Times New Roman" w:hAnsi="Times New Roman"/>
          <w:sz w:val="28"/>
          <w:szCs w:val="28"/>
        </w:rPr>
        <w:footnoteReference w:id="14"/>
      </w:r>
    </w:p>
    <w:tbl>
      <w:tblPr>
        <w:tblW w:w="9371" w:type="dxa"/>
        <w:tblInd w:w="93" w:type="dxa"/>
        <w:tblLook w:val="00A0"/>
      </w:tblPr>
      <w:tblGrid>
        <w:gridCol w:w="6394"/>
        <w:gridCol w:w="1559"/>
        <w:gridCol w:w="1418"/>
      </w:tblGrid>
      <w:tr w:rsidR="00F0113F" w:rsidRPr="00A77117" w:rsidTr="006028D0">
        <w:trPr>
          <w:trHeight w:val="3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13F" w:rsidRPr="00867424" w:rsidRDefault="00F0113F" w:rsidP="0086742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7424">
              <w:rPr>
                <w:rFonts w:ascii="Times New Roman" w:hAnsi="Times New Roman"/>
                <w:color w:val="000000"/>
              </w:rPr>
              <w:t>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13F" w:rsidRPr="00867424" w:rsidRDefault="00F0113F" w:rsidP="0086742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7424">
              <w:rPr>
                <w:rFonts w:ascii="Times New Roman" w:hAnsi="Times New Roman"/>
                <w:color w:val="000000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13F" w:rsidRPr="00867424" w:rsidRDefault="00F0113F" w:rsidP="0086742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7424">
              <w:rPr>
                <w:rFonts w:ascii="Times New Roman" w:hAnsi="Times New Roman"/>
                <w:color w:val="000000"/>
              </w:rPr>
              <w:t>2017</w:t>
            </w:r>
          </w:p>
        </w:tc>
      </w:tr>
      <w:tr w:rsidR="00F0113F" w:rsidRPr="00A77117" w:rsidTr="006028D0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113F" w:rsidRPr="00867424" w:rsidRDefault="00F0113F" w:rsidP="00867424">
            <w:pPr>
              <w:rPr>
                <w:rFonts w:ascii="Times New Roman" w:hAnsi="Times New Roman"/>
                <w:color w:val="000000"/>
              </w:rPr>
            </w:pPr>
            <w:r w:rsidRPr="00867424">
              <w:rPr>
                <w:rFonts w:ascii="Times New Roman" w:hAnsi="Times New Roman"/>
                <w:color w:val="000000"/>
              </w:rPr>
              <w:t>Налоговая нагрузка по методологии ФНС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13F" w:rsidRPr="00867424" w:rsidRDefault="00F0113F" w:rsidP="0086742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7424">
              <w:rPr>
                <w:rFonts w:ascii="Times New Roman" w:hAnsi="Times New Roman"/>
                <w:color w:val="000000"/>
              </w:rPr>
              <w:t>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13F" w:rsidRPr="00867424" w:rsidRDefault="00F0113F" w:rsidP="0086742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7424">
              <w:rPr>
                <w:rFonts w:ascii="Times New Roman" w:hAnsi="Times New Roman"/>
                <w:color w:val="000000"/>
              </w:rPr>
              <w:t>10,6</w:t>
            </w:r>
          </w:p>
        </w:tc>
      </w:tr>
      <w:tr w:rsidR="00F0113F" w:rsidRPr="00A77117" w:rsidTr="006028D0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113F" w:rsidRPr="00867424" w:rsidRDefault="00F0113F" w:rsidP="00867424">
            <w:pPr>
              <w:rPr>
                <w:rFonts w:ascii="Times New Roman" w:hAnsi="Times New Roman"/>
                <w:color w:val="000000"/>
              </w:rPr>
            </w:pPr>
            <w:r w:rsidRPr="00867424">
              <w:rPr>
                <w:rFonts w:ascii="Times New Roman" w:hAnsi="Times New Roman"/>
                <w:color w:val="000000"/>
              </w:rPr>
              <w:t>Налоговая нагрузка по методологии ФБК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13F" w:rsidRPr="00867424" w:rsidRDefault="00F0113F" w:rsidP="0086742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7424">
              <w:rPr>
                <w:rFonts w:ascii="Times New Roman" w:hAnsi="Times New Roman"/>
                <w:color w:val="000000"/>
              </w:rPr>
              <w:t>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13F" w:rsidRPr="00867424" w:rsidRDefault="00F0113F" w:rsidP="0086742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7424">
              <w:rPr>
                <w:rFonts w:ascii="Times New Roman" w:hAnsi="Times New Roman"/>
                <w:color w:val="000000"/>
              </w:rPr>
              <w:t>10,9</w:t>
            </w:r>
          </w:p>
        </w:tc>
      </w:tr>
      <w:tr w:rsidR="00F0113F" w:rsidRPr="00A77117" w:rsidTr="006028D0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113F" w:rsidRPr="00867424" w:rsidRDefault="00F0113F" w:rsidP="00867424">
            <w:pPr>
              <w:rPr>
                <w:rFonts w:ascii="Times New Roman" w:hAnsi="Times New Roman"/>
                <w:color w:val="000000"/>
              </w:rPr>
            </w:pPr>
            <w:r w:rsidRPr="00867424">
              <w:rPr>
                <w:rFonts w:ascii="Times New Roman" w:hAnsi="Times New Roman"/>
                <w:color w:val="000000"/>
              </w:rPr>
              <w:t>Налоговая нагрузка по методологии РСПП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13F" w:rsidRPr="00867424" w:rsidRDefault="00F0113F" w:rsidP="0086742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7424">
              <w:rPr>
                <w:rFonts w:ascii="Times New Roman" w:hAnsi="Times New Roman"/>
                <w:color w:val="000000"/>
              </w:rPr>
              <w:t>10,4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13F" w:rsidRPr="00867424" w:rsidRDefault="00F0113F" w:rsidP="0086742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7424">
              <w:rPr>
                <w:rFonts w:ascii="Times New Roman" w:hAnsi="Times New Roman"/>
                <w:color w:val="000000"/>
              </w:rPr>
              <w:t>10,9</w:t>
            </w:r>
          </w:p>
        </w:tc>
      </w:tr>
    </w:tbl>
    <w:p w:rsidR="00F0113F" w:rsidRDefault="00F0113F" w:rsidP="006028D0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F0113F" w:rsidRPr="00FD11FC" w:rsidRDefault="00F0113F" w:rsidP="007C538A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Необходимо отметить, что указанный показатель фиксирует среднеотраслевую налоговую нагрузку. С учётом сохранения налоговых льгот для градо- и посёлкообразующих предприятий, фактическая налоговая нагрузка на предприятия, не имеющие статуса градо- и посёлкообразующих составит 14,5%. Таким образом, </w:t>
      </w:r>
      <w:r w:rsidRPr="00BC60C4">
        <w:rPr>
          <w:rFonts w:ascii="Times New Roman" w:hAnsi="Times New Roman"/>
          <w:b/>
          <w:sz w:val="28"/>
          <w:szCs w:val="28"/>
        </w:rPr>
        <w:t>для предприятий, не имеющих статуса градо- и посёлкообразующих, налоговая нагрузка, рассчитанная по методологии ФНС, возрастёт вдвое – с 6,2% до 12,5%</w:t>
      </w:r>
      <w:r>
        <w:rPr>
          <w:rFonts w:ascii="Times New Roman" w:hAnsi="Times New Roman"/>
          <w:sz w:val="28"/>
          <w:szCs w:val="28"/>
        </w:rPr>
        <w:t>, налоговая нагрузка, рассчитанная по методологии ФБК, возрастёт в полтора раза – с 8,3% до 12,5%, рассчитанная по методологии Комиссии РСПП по рыбному хозяйству и аквакультуре возрастёт с 10,4% до 14,5% - почти в полтора раза.</w:t>
      </w:r>
    </w:p>
    <w:p w:rsidR="00F0113F" w:rsidRPr="007C538A" w:rsidRDefault="00F0113F" w:rsidP="007C538A">
      <w:pPr>
        <w:jc w:val="both"/>
        <w:rPr>
          <w:rFonts w:ascii="Times New Roman" w:hAnsi="Times New Roman"/>
          <w:sz w:val="28"/>
          <w:szCs w:val="28"/>
        </w:rPr>
      </w:pPr>
      <w:r w:rsidRPr="000C117E">
        <w:rPr>
          <w:rFonts w:ascii="Times New Roman" w:hAnsi="Times New Roman"/>
          <w:b/>
          <w:sz w:val="28"/>
          <w:szCs w:val="28"/>
        </w:rPr>
        <w:t>Кроме увеличения налоговой нагрузки на некоторые категории налогоплательщиков произойдёт её резкое сезонное увеличение, обусловленное техникой взимания сбора за пользование объектами водных биологических ресурсов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F0113F" w:rsidRDefault="00F0113F" w:rsidP="006028D0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DF481D">
        <w:rPr>
          <w:rFonts w:ascii="Times New Roman" w:hAnsi="Times New Roman"/>
          <w:sz w:val="28"/>
          <w:szCs w:val="28"/>
        </w:rPr>
        <w:t xml:space="preserve"> учёто</w:t>
      </w:r>
      <w:r>
        <w:rPr>
          <w:rFonts w:ascii="Times New Roman" w:hAnsi="Times New Roman"/>
          <w:sz w:val="28"/>
          <w:szCs w:val="28"/>
        </w:rPr>
        <w:t>м техники взимания</w:t>
      </w:r>
      <w:r w:rsidRPr="00DF481D">
        <w:rPr>
          <w:rFonts w:ascii="Times New Roman" w:hAnsi="Times New Roman"/>
          <w:sz w:val="28"/>
          <w:szCs w:val="28"/>
        </w:rPr>
        <w:t xml:space="preserve"> сбора </w:t>
      </w:r>
      <w:r>
        <w:rPr>
          <w:rFonts w:ascii="Times New Roman" w:hAnsi="Times New Roman"/>
          <w:sz w:val="28"/>
          <w:szCs w:val="28"/>
        </w:rPr>
        <w:t xml:space="preserve">за пользование водными биоресурсами при общем размере совокупного годового платежа по указанному сборув 9,7 млрд. рублей </w:t>
      </w:r>
      <w:r w:rsidRPr="00DF481D">
        <w:rPr>
          <w:rFonts w:ascii="Times New Roman" w:hAnsi="Times New Roman"/>
          <w:sz w:val="28"/>
          <w:szCs w:val="28"/>
        </w:rPr>
        <w:t>единовременн</w:t>
      </w:r>
      <w:r>
        <w:rPr>
          <w:rFonts w:ascii="Times New Roman" w:hAnsi="Times New Roman"/>
          <w:sz w:val="28"/>
          <w:szCs w:val="28"/>
        </w:rPr>
        <w:t>ый разовый платёж составляет 970 млн</w:t>
      </w:r>
      <w:r w:rsidRPr="00DF481D">
        <w:rPr>
          <w:rFonts w:ascii="Times New Roman" w:hAnsi="Times New Roman"/>
          <w:sz w:val="28"/>
          <w:szCs w:val="28"/>
        </w:rPr>
        <w:t xml:space="preserve">. рублей. </w:t>
      </w:r>
      <w:r>
        <w:rPr>
          <w:rFonts w:ascii="Times New Roman" w:hAnsi="Times New Roman"/>
          <w:sz w:val="28"/>
          <w:szCs w:val="28"/>
        </w:rPr>
        <w:t xml:space="preserve">Кроме того, в соответствии с установленным порядком в январе необходимо уплатить 1/12 от объёма сбора. Таким образом, в конце декабря – январе предприятия должны будут уплатить не менее 1,8 млрд. рублей. </w:t>
      </w:r>
    </w:p>
    <w:p w:rsidR="00F0113F" w:rsidRDefault="00F0113F" w:rsidP="006028D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01416">
        <w:rPr>
          <w:rFonts w:ascii="Times New Roman" w:hAnsi="Times New Roman"/>
          <w:b/>
          <w:sz w:val="28"/>
          <w:szCs w:val="28"/>
        </w:rPr>
        <w:t>Техника взимания сбора за пользование водными биологическими ресурсами приведёт к тому, что резко усилится неравномерность налогово</w:t>
      </w:r>
      <w:r>
        <w:rPr>
          <w:rFonts w:ascii="Times New Roman" w:hAnsi="Times New Roman"/>
          <w:b/>
          <w:sz w:val="28"/>
          <w:szCs w:val="28"/>
        </w:rPr>
        <w:t xml:space="preserve">й нагрузки в течение года. На конец четвёртого квартала – начало первого квартала </w:t>
      </w:r>
      <w:r w:rsidRPr="00001416">
        <w:rPr>
          <w:rFonts w:ascii="Times New Roman" w:hAnsi="Times New Roman"/>
          <w:b/>
          <w:sz w:val="28"/>
          <w:szCs w:val="28"/>
        </w:rPr>
        <w:t xml:space="preserve">будет приходиться выплата налогов и сборов в общем объёме не менее 3 млрд. рублей. </w:t>
      </w:r>
      <w:r w:rsidRPr="00C32547">
        <w:rPr>
          <w:rFonts w:ascii="Times New Roman" w:hAnsi="Times New Roman"/>
          <w:sz w:val="28"/>
          <w:szCs w:val="28"/>
        </w:rPr>
        <w:t xml:space="preserve">Необходимо отметить, что в указанный период </w:t>
      </w:r>
      <w:r>
        <w:rPr>
          <w:rFonts w:ascii="Times New Roman" w:hAnsi="Times New Roman"/>
          <w:sz w:val="28"/>
          <w:szCs w:val="28"/>
        </w:rPr>
        <w:t xml:space="preserve">также </w:t>
      </w:r>
      <w:r w:rsidRPr="00C32547">
        <w:rPr>
          <w:rFonts w:ascii="Times New Roman" w:hAnsi="Times New Roman"/>
          <w:sz w:val="28"/>
          <w:szCs w:val="28"/>
        </w:rPr>
        <w:t>осуществляются платежи в целях подготовки к важнейшей путине.</w:t>
      </w:r>
    </w:p>
    <w:p w:rsidR="00F0113F" w:rsidRPr="0093002D" w:rsidRDefault="00F0113F" w:rsidP="0093002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E016B">
        <w:rPr>
          <w:rFonts w:ascii="Times New Roman" w:hAnsi="Times New Roman"/>
          <w:sz w:val="28"/>
          <w:szCs w:val="28"/>
        </w:rPr>
        <w:t>Согласно данным Росстата, кредиторская задолженность российских рыбохозяйственных предприятий возросла в 2012 году на 16,2%, с 24,6 млрд. рублей до 28,6 млрд. рублей, а в 2014 году – ещё на 57%, с 28,6 млрд. рублей до 45 млрд. рублей. Таким образом, всего за два года кредиторская задолженность предприятий рыбохозяйственного комплекса возросла в 1,8 раз. Необходимо указать, что в период 2008 – 2011 годов средневзвешенный объём кредиторской задолженности колебался на уровне 25,3 млрд. рублей. Следовательно, общий объём кредиторской задолженности предприятий рыбохозяйственного комплекса вырос по сравнению с периодом 2008 – 2011 гг. на 80% – на 20 млрд. рублей.</w:t>
      </w:r>
    </w:p>
    <w:p w:rsidR="00F0113F" w:rsidRDefault="00F0113F" w:rsidP="001F750F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DF481D">
        <w:rPr>
          <w:rFonts w:ascii="Times New Roman" w:hAnsi="Times New Roman"/>
          <w:sz w:val="28"/>
          <w:szCs w:val="28"/>
        </w:rPr>
        <w:t xml:space="preserve">С учётом возросшей кредиторской задолженности изменение порядка уплаты сбора за пользование объектами водных биологических ресурсов означает, что </w:t>
      </w:r>
      <w:r>
        <w:rPr>
          <w:rFonts w:ascii="Times New Roman" w:hAnsi="Times New Roman"/>
          <w:b/>
          <w:sz w:val="28"/>
          <w:szCs w:val="28"/>
        </w:rPr>
        <w:t xml:space="preserve">платежи по уплате </w:t>
      </w:r>
      <w:r w:rsidRPr="004E4C76">
        <w:rPr>
          <w:rFonts w:ascii="Times New Roman" w:hAnsi="Times New Roman"/>
          <w:b/>
          <w:sz w:val="28"/>
          <w:szCs w:val="28"/>
        </w:rPr>
        <w:t xml:space="preserve">сбора </w:t>
      </w:r>
      <w:r>
        <w:rPr>
          <w:rFonts w:ascii="Times New Roman" w:hAnsi="Times New Roman"/>
          <w:b/>
          <w:sz w:val="28"/>
          <w:szCs w:val="28"/>
        </w:rPr>
        <w:t xml:space="preserve">за пользование водными биологическими ресурсами, уплата страховых взносов, </w:t>
      </w:r>
      <w:r w:rsidRPr="004E4C76">
        <w:rPr>
          <w:rFonts w:ascii="Times New Roman" w:hAnsi="Times New Roman"/>
          <w:b/>
          <w:sz w:val="28"/>
          <w:szCs w:val="28"/>
        </w:rPr>
        <w:t>уплата процентов по взятым кредитам составят в первом квартале не менее 4-4,5 млрд. рублей</w:t>
      </w:r>
      <w:r>
        <w:rPr>
          <w:rFonts w:ascii="Times New Roman" w:hAnsi="Times New Roman"/>
          <w:sz w:val="28"/>
          <w:szCs w:val="28"/>
        </w:rPr>
        <w:t xml:space="preserve">. В настоящее время указанные платежи составляют около 1 млрд. рублей, Следовательно, сезонная налоговая нагрузка на предприятия отрасли в конце четвёртого квартала – начале первого квартала возрастёт в в 4 – 4,5 раза, что резко ослабит финансовую устойчивость предприятий. </w:t>
      </w:r>
    </w:p>
    <w:p w:rsidR="00F0113F" w:rsidRDefault="00F0113F" w:rsidP="001F750F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наибольшей степени указанные последствия проявятся на Дальневосточном рыбохозяйственном бассейне, так как свыше 75% начислений сбора за пользование водными биологическими ресурсами приходится на рыбодобывающие предприятия Дальневосточного рыбохозяйственного бассейна. С учётом финансовых платежей в целях подготовке к Охотоморской минтаевой путине финансовые затраты предприятий возрастут по сравнению с среднегодовым уровнем в пять – шесть раз. </w:t>
      </w:r>
      <w:r w:rsidRPr="00DF481D">
        <w:rPr>
          <w:rFonts w:ascii="Times New Roman" w:hAnsi="Times New Roman"/>
          <w:sz w:val="28"/>
          <w:szCs w:val="28"/>
        </w:rPr>
        <w:t xml:space="preserve">Любое </w:t>
      </w:r>
      <w:r>
        <w:rPr>
          <w:rFonts w:ascii="Times New Roman" w:hAnsi="Times New Roman"/>
          <w:sz w:val="28"/>
          <w:szCs w:val="28"/>
        </w:rPr>
        <w:t xml:space="preserve">негативное </w:t>
      </w:r>
      <w:r w:rsidRPr="00DF481D">
        <w:rPr>
          <w:rFonts w:ascii="Times New Roman" w:hAnsi="Times New Roman"/>
          <w:sz w:val="28"/>
          <w:szCs w:val="28"/>
        </w:rPr>
        <w:t xml:space="preserve">изменение ценовой конъюнктуры на продукцию из водных биологических ресурсов </w:t>
      </w:r>
      <w:r>
        <w:rPr>
          <w:rFonts w:ascii="Times New Roman" w:hAnsi="Times New Roman"/>
          <w:sz w:val="28"/>
          <w:szCs w:val="28"/>
        </w:rPr>
        <w:t>в этот период обострит дефицит</w:t>
      </w:r>
      <w:r w:rsidRPr="00DF481D">
        <w:rPr>
          <w:rFonts w:ascii="Times New Roman" w:hAnsi="Times New Roman"/>
          <w:sz w:val="28"/>
          <w:szCs w:val="28"/>
        </w:rPr>
        <w:t xml:space="preserve"> оборотн</w:t>
      </w:r>
      <w:r>
        <w:rPr>
          <w:rFonts w:ascii="Times New Roman" w:hAnsi="Times New Roman"/>
          <w:sz w:val="28"/>
          <w:szCs w:val="28"/>
        </w:rPr>
        <w:t xml:space="preserve">ых средств предприятий и приведёт к отрицательному показателю коэффициента платёжеспособности предприятий. </w:t>
      </w:r>
    </w:p>
    <w:p w:rsidR="00F0113F" w:rsidRDefault="00F0113F" w:rsidP="0077779B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DF481D">
        <w:rPr>
          <w:rFonts w:ascii="Times New Roman" w:hAnsi="Times New Roman"/>
          <w:sz w:val="28"/>
          <w:szCs w:val="28"/>
        </w:rPr>
        <w:t>нализ финансовых результатов рыбохозяйственной отрасли показывает, что первый и четвёртый кварталы являются относительно более успешными, чем второй и третий кварталы, на который приходится менее 30% ежегодного сальдированного финансового результата. Следовательно, дефицит оборотных средств в первом квартале невозможно компенсировать по итогам работы во втором-третьем кв</w:t>
      </w:r>
      <w:r>
        <w:rPr>
          <w:rFonts w:ascii="Times New Roman" w:hAnsi="Times New Roman"/>
          <w:sz w:val="28"/>
          <w:szCs w:val="28"/>
        </w:rPr>
        <w:t>а</w:t>
      </w:r>
      <w:r w:rsidRPr="00DF481D">
        <w:rPr>
          <w:rFonts w:ascii="Times New Roman" w:hAnsi="Times New Roman"/>
          <w:sz w:val="28"/>
          <w:szCs w:val="28"/>
        </w:rPr>
        <w:t xml:space="preserve">рталах. </w:t>
      </w:r>
    </w:p>
    <w:p w:rsidR="00F0113F" w:rsidRDefault="00F0113F" w:rsidP="0077779B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учёте финансового состояния рыбопромышленных предприятий и прогнозе последствий внесения изменений в налоговое законодательство также необходимо учитывать предусмотренное в  соответствии с поручением 1а Перечня поручений Президента Российской Федерации от 9 ноября 2015 года №Пр-2338ГС «выделение до 20 процентов квот добычи (вылова) водных биологических ресурсов на инвестиционные цели (закупка новых судов рыбопромыслового флота, построенных на отечественных верфях, и строительство объектов переработки водных биологических ресурсов)».</w:t>
      </w:r>
    </w:p>
    <w:p w:rsidR="00F0113F" w:rsidRDefault="00F0113F" w:rsidP="0077779B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сохранения существующего объёма водных биологических ресурсов, закреплённых за пользователем, начиная с 2016 года, предполагается значительное увеличение инвестиционных расходов предприятий. При этом для большинства предприятий основным источников долгосрочных капиталовложений будет являться получение кредита, что приведёт к увеличению объёма кредиторской задолженности и соответственно к увеличению процентных платежей по обслуживанию кредитов. Необходимость выплаты процентных платежей также значительно увеличит финансовую нагрузку на предприятия в конце четвёртого – начале первого кварталов. </w:t>
      </w:r>
    </w:p>
    <w:p w:rsidR="00F0113F" w:rsidRDefault="00F0113F" w:rsidP="0077779B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F0113F" w:rsidRDefault="00F0113F" w:rsidP="00FD11FC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VI</w:t>
      </w:r>
      <w:r>
        <w:rPr>
          <w:rFonts w:ascii="Times New Roman" w:hAnsi="Times New Roman"/>
          <w:sz w:val="28"/>
          <w:szCs w:val="28"/>
        </w:rPr>
        <w:t>.ВЫВОДЫ</w:t>
      </w:r>
    </w:p>
    <w:p w:rsidR="00F0113F" w:rsidRDefault="00F0113F" w:rsidP="0077779B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F0113F" w:rsidRDefault="00F0113F" w:rsidP="0077779B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Налоговая (фискальная) нагрузка - это с</w:t>
      </w:r>
      <w:r w:rsidRPr="0072366B">
        <w:rPr>
          <w:rFonts w:ascii="Times New Roman" w:hAnsi="Times New Roman"/>
          <w:sz w:val="28"/>
          <w:szCs w:val="28"/>
        </w:rPr>
        <w:t>оотношение суммы налоговых платежей в консолидированный бюджет Российской Федерации, страховых взносов на обязательное пенсионное страхование, обязательное медицинское страхование и обязательное социальное страхование, за вычетом налога на доходы физических лиц, к обороту предприятий по виду экономической деятельности.</w:t>
      </w:r>
    </w:p>
    <w:p w:rsidR="00F0113F" w:rsidRDefault="00F0113F" w:rsidP="007A7EB4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Начиная с 2008 года произошло</w:t>
      </w:r>
      <w:bookmarkStart w:id="1" w:name="_GoBack"/>
      <w:bookmarkEnd w:id="1"/>
      <w:r w:rsidRPr="0072366B">
        <w:rPr>
          <w:rFonts w:ascii="Times New Roman" w:hAnsi="Times New Roman"/>
          <w:sz w:val="28"/>
          <w:szCs w:val="28"/>
        </w:rPr>
        <w:t xml:space="preserve"> снижение фискальной (налоговой)</w:t>
      </w:r>
      <w:r>
        <w:rPr>
          <w:rFonts w:ascii="Times New Roman" w:hAnsi="Times New Roman"/>
          <w:sz w:val="28"/>
          <w:szCs w:val="28"/>
        </w:rPr>
        <w:t xml:space="preserve"> нагрузки на предприятия по виду экономической деятельности «Рыболовство, рыбоводство» с 26,2% до 10,8%.</w:t>
      </w:r>
      <w:r w:rsidRPr="0072366B">
        <w:rPr>
          <w:rFonts w:ascii="Times New Roman" w:hAnsi="Times New Roman"/>
          <w:sz w:val="28"/>
          <w:szCs w:val="28"/>
        </w:rPr>
        <w:t xml:space="preserve">Фискальная (налоговая) нагрузка на предприятия по виду экономической деятельности «Рыболовство, рыбоводство» существенно снизилась за </w:t>
      </w:r>
      <w:r>
        <w:rPr>
          <w:rFonts w:ascii="Times New Roman" w:hAnsi="Times New Roman"/>
          <w:sz w:val="28"/>
          <w:szCs w:val="28"/>
        </w:rPr>
        <w:t>счет применения налоговых льгот: 1) налоговой льготы</w:t>
      </w:r>
      <w:r w:rsidRPr="0072366B">
        <w:rPr>
          <w:rFonts w:ascii="Times New Roman" w:hAnsi="Times New Roman"/>
          <w:sz w:val="28"/>
          <w:szCs w:val="28"/>
        </w:rPr>
        <w:t xml:space="preserve"> при уплате сбора за пользование объектами водных биологически</w:t>
      </w:r>
      <w:r>
        <w:rPr>
          <w:rFonts w:ascii="Times New Roman" w:hAnsi="Times New Roman"/>
          <w:sz w:val="28"/>
          <w:szCs w:val="28"/>
        </w:rPr>
        <w:t>х ресурсов; 2) установления</w:t>
      </w:r>
      <w:r w:rsidRPr="0072366B">
        <w:rPr>
          <w:rFonts w:ascii="Times New Roman" w:hAnsi="Times New Roman"/>
          <w:sz w:val="28"/>
          <w:szCs w:val="28"/>
        </w:rPr>
        <w:t xml:space="preserve"> налогового режима «Единый сельскохозяйственный налог» для рыбодобывающих предприятий с численностью занятых не более 300 человек.</w:t>
      </w:r>
    </w:p>
    <w:p w:rsidR="00F0113F" w:rsidRDefault="00F0113F" w:rsidP="00BF2F32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Внесение изменений в порядок применения указанных льгот приведёт к тому, что в соответствии с методологией ФНС налоговая нагрузка возрастёт с 6,2% до 10,6%. По расчётом экспертов ФБК налоговая нагрузка возрастёт с 8,3% до 10,9% - на 2,7 процентных пункта. По расчётам Комиссии РСПП по рыбному хозяйству и аквакультуре возможное увеличение налоговой нагрузкисоставит показатель 12,6%.</w:t>
      </w:r>
    </w:p>
    <w:p w:rsidR="00F0113F" w:rsidRDefault="00F0113F" w:rsidP="00BF2F32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Pr="00BF2F32">
        <w:rPr>
          <w:rFonts w:ascii="Times New Roman" w:hAnsi="Times New Roman"/>
          <w:sz w:val="28"/>
          <w:szCs w:val="28"/>
        </w:rPr>
        <w:t>актическая налоговая нагрузка на предприятия, не имеющие статуса градо- и посёлкообразующих составит 1</w:t>
      </w:r>
      <w:r>
        <w:rPr>
          <w:rFonts w:ascii="Times New Roman" w:hAnsi="Times New Roman"/>
          <w:sz w:val="28"/>
          <w:szCs w:val="28"/>
        </w:rPr>
        <w:t>4</w:t>
      </w:r>
      <w:r w:rsidRPr="00BF2F32">
        <w:rPr>
          <w:rFonts w:ascii="Times New Roman" w:hAnsi="Times New Roman"/>
          <w:sz w:val="28"/>
          <w:szCs w:val="28"/>
        </w:rPr>
        <w:t xml:space="preserve">,5%. </w:t>
      </w:r>
      <w:r>
        <w:rPr>
          <w:rFonts w:ascii="Times New Roman" w:hAnsi="Times New Roman"/>
          <w:sz w:val="28"/>
          <w:szCs w:val="28"/>
        </w:rPr>
        <w:t>Д</w:t>
      </w:r>
      <w:r w:rsidRPr="00BF2F32">
        <w:rPr>
          <w:rFonts w:ascii="Times New Roman" w:hAnsi="Times New Roman"/>
          <w:sz w:val="28"/>
          <w:szCs w:val="28"/>
        </w:rPr>
        <w:t>ля предприятий, не имеющих статуса градо- и посёлкообразующих, налоговая нагрузка, рассчитанная по методологии ФНС, возрастёт вдвое – с 6,2% до 12,5%, налоговая нагрузка, рассчитанная по методологии ФБК, возрастёт в полтора раза – с 8,3% до 12,5%, рассчитанная по методологии Комиссии РСПП по рыбному хозяйству и аквакультуре возрастёт с 10,4% до 1</w:t>
      </w:r>
      <w:r>
        <w:rPr>
          <w:rFonts w:ascii="Times New Roman" w:hAnsi="Times New Roman"/>
          <w:sz w:val="28"/>
          <w:szCs w:val="28"/>
        </w:rPr>
        <w:t>4</w:t>
      </w:r>
      <w:r w:rsidRPr="00BF2F32">
        <w:rPr>
          <w:rFonts w:ascii="Times New Roman" w:hAnsi="Times New Roman"/>
          <w:sz w:val="28"/>
          <w:szCs w:val="28"/>
        </w:rPr>
        <w:t>,5%</w:t>
      </w:r>
      <w:r>
        <w:rPr>
          <w:rFonts w:ascii="Times New Roman" w:hAnsi="Times New Roman"/>
          <w:sz w:val="28"/>
          <w:szCs w:val="28"/>
        </w:rPr>
        <w:t>.</w:t>
      </w:r>
    </w:p>
    <w:p w:rsidR="00F0113F" w:rsidRDefault="00F0113F" w:rsidP="00BF2F32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BF2F32">
        <w:rPr>
          <w:rFonts w:ascii="Times New Roman" w:hAnsi="Times New Roman"/>
          <w:sz w:val="28"/>
          <w:szCs w:val="28"/>
        </w:rPr>
        <w:t xml:space="preserve">Кроме увеличения налоговой нагрузки на некоторые категории налогоплательщиков произойдёт резкое сезонное увеличение, обусловленное техникой взимания сбора за пользование объектами водных биологических </w:t>
      </w:r>
      <w:r>
        <w:rPr>
          <w:rFonts w:ascii="Times New Roman" w:hAnsi="Times New Roman"/>
          <w:sz w:val="28"/>
          <w:szCs w:val="28"/>
        </w:rPr>
        <w:t xml:space="preserve">ресурсов. Как следствие, прогнозируется значительное </w:t>
      </w:r>
      <w:r w:rsidRPr="00BF2F32">
        <w:rPr>
          <w:rFonts w:ascii="Times New Roman" w:hAnsi="Times New Roman"/>
          <w:sz w:val="28"/>
          <w:szCs w:val="28"/>
        </w:rPr>
        <w:t>увеличение фискальной (налоговой) нагрузки на предприятия рыбохозяйственног</w:t>
      </w:r>
      <w:r>
        <w:rPr>
          <w:rFonts w:ascii="Times New Roman" w:hAnsi="Times New Roman"/>
          <w:sz w:val="28"/>
          <w:szCs w:val="28"/>
        </w:rPr>
        <w:t xml:space="preserve">о комплекса в конце четвёртого квартала 2017 года – начале первого квартала 2018 года, что приведёт к резкому снижению финансовой устойчивости предприятий. </w:t>
      </w:r>
    </w:p>
    <w:p w:rsidR="00F0113F" w:rsidRDefault="00F0113F" w:rsidP="00BF2F32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F0113F" w:rsidRDefault="00F0113F" w:rsidP="00FD11FC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619B9">
        <w:rPr>
          <w:rFonts w:ascii="Times New Roman" w:hAnsi="Times New Roman"/>
          <w:b/>
          <w:sz w:val="28"/>
          <w:szCs w:val="28"/>
        </w:rPr>
        <w:t xml:space="preserve">Экспертная группа Комиссии РСПП </w:t>
      </w:r>
    </w:p>
    <w:p w:rsidR="00F0113F" w:rsidRDefault="00F0113F" w:rsidP="00FD11FC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619B9">
        <w:rPr>
          <w:rFonts w:ascii="Times New Roman" w:hAnsi="Times New Roman"/>
          <w:b/>
          <w:sz w:val="28"/>
          <w:szCs w:val="28"/>
        </w:rPr>
        <w:t xml:space="preserve">по рыбному хозяйству и аквакультуре, </w:t>
      </w:r>
    </w:p>
    <w:p w:rsidR="00F0113F" w:rsidRPr="00A619B9" w:rsidRDefault="00F0113F" w:rsidP="00FD11FC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619B9">
        <w:rPr>
          <w:rFonts w:ascii="Times New Roman" w:hAnsi="Times New Roman"/>
          <w:b/>
          <w:sz w:val="28"/>
          <w:szCs w:val="28"/>
        </w:rPr>
        <w:t>научный руководитель – к.э.н. Г.С.Зверев</w:t>
      </w:r>
    </w:p>
    <w:p w:rsidR="00F0113F" w:rsidRPr="00A92AEC" w:rsidRDefault="00F0113F" w:rsidP="00A92AEC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F0113F" w:rsidRPr="00A92AEC" w:rsidSect="001D6E61">
      <w:footerReference w:type="even" r:id="rId12"/>
      <w:footerReference w:type="default" r:id="rId13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113F" w:rsidRDefault="00F0113F" w:rsidP="0077779B">
      <w:r>
        <w:separator/>
      </w:r>
    </w:p>
  </w:endnote>
  <w:endnote w:type="continuationSeparator" w:id="1">
    <w:p w:rsidR="00F0113F" w:rsidRDefault="00F0113F" w:rsidP="007777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13F" w:rsidRDefault="00F0113F" w:rsidP="00BC360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0113F" w:rsidRDefault="00F0113F" w:rsidP="001D6E61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13F" w:rsidRDefault="00F0113F" w:rsidP="00BC360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14</w:t>
    </w:r>
    <w:r>
      <w:rPr>
        <w:rStyle w:val="PageNumber"/>
      </w:rPr>
      <w:fldChar w:fldCharType="end"/>
    </w:r>
  </w:p>
  <w:p w:rsidR="00F0113F" w:rsidRDefault="00F0113F" w:rsidP="001D6E61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113F" w:rsidRDefault="00F0113F" w:rsidP="0077779B">
      <w:r>
        <w:separator/>
      </w:r>
    </w:p>
  </w:footnote>
  <w:footnote w:type="continuationSeparator" w:id="1">
    <w:p w:rsidR="00F0113F" w:rsidRDefault="00F0113F" w:rsidP="0077779B">
      <w:r>
        <w:continuationSeparator/>
      </w:r>
    </w:p>
  </w:footnote>
  <w:footnote w:id="2">
    <w:p w:rsidR="00F0113F" w:rsidRDefault="00F0113F" w:rsidP="008F0D46">
      <w:pPr>
        <w:pStyle w:val="FootnoteText"/>
        <w:jc w:val="both"/>
      </w:pPr>
      <w:r w:rsidRPr="000200D9">
        <w:rPr>
          <w:rStyle w:val="FootnoteReference"/>
          <w:rFonts w:ascii="Times New Roman" w:hAnsi="Times New Roman"/>
        </w:rPr>
        <w:footnoteRef/>
      </w:r>
      <w:r w:rsidRPr="000200D9">
        <w:rPr>
          <w:rFonts w:ascii="Times New Roman" w:hAnsi="Times New Roman"/>
        </w:rPr>
        <w:t xml:space="preserve"> Приложение №1 к Приказу ФНС России от 30.05.2007 № ММ – 3 – 06/333</w:t>
      </w:r>
      <w:r w:rsidRPr="00FD11FC">
        <w:rPr>
          <w:rFonts w:ascii="Times New Roman" w:hAnsi="Times New Roman"/>
        </w:rPr>
        <w:t>@</w:t>
      </w:r>
      <w:r w:rsidRPr="000200D9">
        <w:rPr>
          <w:rFonts w:ascii="Times New Roman" w:hAnsi="Times New Roman"/>
        </w:rPr>
        <w:t xml:space="preserve"> «Об утверждении Концепции системы планирования выездных налоговых проверок». </w:t>
      </w:r>
    </w:p>
  </w:footnote>
  <w:footnote w:id="3">
    <w:p w:rsidR="00F0113F" w:rsidRDefault="00F0113F" w:rsidP="008F0D46">
      <w:pPr>
        <w:pStyle w:val="FootnoteText"/>
        <w:jc w:val="both"/>
      </w:pPr>
      <w:r w:rsidRPr="000200D9">
        <w:rPr>
          <w:rStyle w:val="FootnoteReference"/>
          <w:rFonts w:ascii="Times New Roman" w:hAnsi="Times New Roman"/>
        </w:rPr>
        <w:footnoteRef/>
      </w:r>
      <w:r w:rsidRPr="000200D9">
        <w:rPr>
          <w:rFonts w:ascii="Times New Roman" w:hAnsi="Times New Roman"/>
        </w:rPr>
        <w:t xml:space="preserve"> Основные направления налоговой политики Российской Федерации на 2015 год и на плановый период 2016 и 2017 годов (Одобрены Правительством Российской Федерации 1 июля 2014 года)</w:t>
      </w:r>
    </w:p>
  </w:footnote>
  <w:footnote w:id="4">
    <w:p w:rsidR="00F0113F" w:rsidRPr="00635A7C" w:rsidRDefault="00F0113F" w:rsidP="00EC2F2A">
      <w:pPr>
        <w:jc w:val="both"/>
        <w:rPr>
          <w:rFonts w:ascii="Times New Roman" w:hAnsi="Times New Roman"/>
          <w:sz w:val="20"/>
          <w:szCs w:val="20"/>
        </w:rPr>
      </w:pPr>
      <w:r w:rsidRPr="000200D9">
        <w:rPr>
          <w:rStyle w:val="FootnoteReference"/>
          <w:rFonts w:ascii="Times New Roman" w:hAnsi="Times New Roman"/>
        </w:rPr>
        <w:footnoteRef/>
      </w:r>
      <w:r w:rsidRPr="00635A7C">
        <w:rPr>
          <w:rFonts w:ascii="Times New Roman" w:hAnsi="Times New Roman"/>
          <w:sz w:val="20"/>
          <w:szCs w:val="20"/>
        </w:rPr>
        <w:t>Приложение №3 к Приказу ФНС России от 30.05.2007 №ММ – 3 06/333</w:t>
      </w:r>
      <w:r w:rsidRPr="00FD11FC">
        <w:rPr>
          <w:rFonts w:ascii="Times New Roman" w:hAnsi="Times New Roman"/>
          <w:sz w:val="20"/>
          <w:szCs w:val="20"/>
        </w:rPr>
        <w:t>@</w:t>
      </w:r>
      <w:r w:rsidRPr="00635A7C">
        <w:rPr>
          <w:rFonts w:ascii="Times New Roman" w:hAnsi="Times New Roman"/>
          <w:sz w:val="20"/>
          <w:szCs w:val="20"/>
        </w:rPr>
        <w:t xml:space="preserve"> «Об утверждении Концепции системы планирования выездных налоговых проверок».</w:t>
      </w:r>
    </w:p>
    <w:p w:rsidR="00F0113F" w:rsidRDefault="00F0113F" w:rsidP="00EC2F2A">
      <w:pPr>
        <w:jc w:val="both"/>
      </w:pPr>
    </w:p>
  </w:footnote>
  <w:footnote w:id="5">
    <w:p w:rsidR="00F0113F" w:rsidRPr="00635A7C" w:rsidRDefault="00F0113F" w:rsidP="00EC2F2A">
      <w:pPr>
        <w:jc w:val="both"/>
        <w:rPr>
          <w:rFonts w:ascii="Times New Roman" w:hAnsi="Times New Roman"/>
          <w:sz w:val="20"/>
          <w:szCs w:val="20"/>
        </w:rPr>
      </w:pPr>
      <w:r w:rsidRPr="00635A7C">
        <w:rPr>
          <w:rStyle w:val="FootnoteReference"/>
          <w:rFonts w:ascii="Times New Roman" w:hAnsi="Times New Roman"/>
          <w:sz w:val="20"/>
          <w:szCs w:val="20"/>
        </w:rPr>
        <w:footnoteRef/>
      </w:r>
      <w:r w:rsidRPr="00635A7C">
        <w:rPr>
          <w:rFonts w:ascii="Times New Roman" w:hAnsi="Times New Roman"/>
          <w:sz w:val="20"/>
          <w:szCs w:val="20"/>
        </w:rPr>
        <w:t xml:space="preserve"> Источник: расчёты ФБК</w:t>
      </w:r>
    </w:p>
    <w:p w:rsidR="00F0113F" w:rsidRDefault="00F0113F" w:rsidP="00EC2F2A">
      <w:pPr>
        <w:jc w:val="both"/>
      </w:pPr>
    </w:p>
  </w:footnote>
  <w:footnote w:id="6">
    <w:p w:rsidR="00F0113F" w:rsidRDefault="00F0113F">
      <w:pPr>
        <w:pStyle w:val="FootnoteText"/>
      </w:pPr>
      <w:r w:rsidRPr="00301FBA">
        <w:rPr>
          <w:rStyle w:val="FootnoteReference"/>
          <w:rFonts w:ascii="Times New Roman" w:hAnsi="Times New Roman"/>
        </w:rPr>
        <w:footnoteRef/>
      </w:r>
      <w:r w:rsidRPr="00301FBA">
        <w:rPr>
          <w:rFonts w:ascii="Times New Roman" w:hAnsi="Times New Roman"/>
        </w:rPr>
        <w:t xml:space="preserve">Официальный сайт Федеральной </w:t>
      </w:r>
      <w:r>
        <w:rPr>
          <w:rFonts w:ascii="Times New Roman" w:hAnsi="Times New Roman"/>
        </w:rPr>
        <w:t>н</w:t>
      </w:r>
      <w:r w:rsidRPr="00301FBA">
        <w:rPr>
          <w:rFonts w:ascii="Times New Roman" w:hAnsi="Times New Roman"/>
        </w:rPr>
        <w:t xml:space="preserve">алоговой </w:t>
      </w:r>
      <w:r>
        <w:rPr>
          <w:rFonts w:ascii="Times New Roman" w:hAnsi="Times New Roman"/>
        </w:rPr>
        <w:t>с</w:t>
      </w:r>
      <w:r w:rsidRPr="00301FBA">
        <w:rPr>
          <w:rFonts w:ascii="Times New Roman" w:hAnsi="Times New Roman"/>
        </w:rPr>
        <w:t>лужбы</w:t>
      </w:r>
      <w:r>
        <w:rPr>
          <w:rFonts w:ascii="Times New Roman" w:hAnsi="Times New Roman"/>
        </w:rPr>
        <w:t>, раздел «Статистика и аналитика», подраздел «</w:t>
      </w:r>
      <w:r w:rsidRPr="00301FBA">
        <w:rPr>
          <w:rFonts w:ascii="Times New Roman" w:hAnsi="Times New Roman"/>
        </w:rPr>
        <w:t>Данные по формам статистической налоговой отчетности</w:t>
      </w:r>
      <w:r>
        <w:rPr>
          <w:rFonts w:ascii="Times New Roman" w:hAnsi="Times New Roman"/>
        </w:rPr>
        <w:t>» (</w:t>
      </w:r>
      <w:r w:rsidRPr="00301FBA">
        <w:rPr>
          <w:rFonts w:ascii="Times New Roman" w:hAnsi="Times New Roman"/>
        </w:rPr>
        <w:t>https://www.nalog.ru/rn77/related_activities/statistics_and_analytics/forms/</w:t>
      </w:r>
      <w:r>
        <w:rPr>
          <w:rFonts w:ascii="Times New Roman" w:hAnsi="Times New Roman"/>
        </w:rPr>
        <w:t>)</w:t>
      </w:r>
    </w:p>
  </w:footnote>
  <w:footnote w:id="7">
    <w:p w:rsidR="00F0113F" w:rsidRPr="00301FBA" w:rsidRDefault="00F0113F" w:rsidP="006E10D0">
      <w:pPr>
        <w:pStyle w:val="FootnoteText"/>
        <w:rPr>
          <w:rFonts w:ascii="Times New Roman" w:hAnsi="Times New Roman"/>
        </w:rPr>
      </w:pPr>
      <w:r>
        <w:rPr>
          <w:rStyle w:val="FootnoteReference"/>
        </w:rPr>
        <w:footnoteRef/>
      </w:r>
      <w:r w:rsidRPr="00301FBA">
        <w:rPr>
          <w:rFonts w:ascii="Times New Roman" w:hAnsi="Times New Roman"/>
        </w:rPr>
        <w:t xml:space="preserve">Официальный сайт Федеральной </w:t>
      </w:r>
      <w:r>
        <w:rPr>
          <w:rFonts w:ascii="Times New Roman" w:hAnsi="Times New Roman"/>
        </w:rPr>
        <w:t>н</w:t>
      </w:r>
      <w:r w:rsidRPr="00301FBA">
        <w:rPr>
          <w:rFonts w:ascii="Times New Roman" w:hAnsi="Times New Roman"/>
        </w:rPr>
        <w:t xml:space="preserve">алоговой </w:t>
      </w:r>
      <w:r>
        <w:rPr>
          <w:rFonts w:ascii="Times New Roman" w:hAnsi="Times New Roman"/>
        </w:rPr>
        <w:t>с</w:t>
      </w:r>
      <w:r w:rsidRPr="00301FBA">
        <w:rPr>
          <w:rFonts w:ascii="Times New Roman" w:hAnsi="Times New Roman"/>
        </w:rPr>
        <w:t>лужбы</w:t>
      </w:r>
      <w:r>
        <w:rPr>
          <w:rFonts w:ascii="Times New Roman" w:hAnsi="Times New Roman"/>
        </w:rPr>
        <w:t>, раздел «Статистика и аналитика», подраздел «</w:t>
      </w:r>
      <w:r w:rsidRPr="00301FBA">
        <w:rPr>
          <w:rFonts w:ascii="Times New Roman" w:hAnsi="Times New Roman"/>
        </w:rPr>
        <w:t>Данные по формам статистической налоговой отчетности</w:t>
      </w:r>
      <w:r>
        <w:rPr>
          <w:rFonts w:ascii="Times New Roman" w:hAnsi="Times New Roman"/>
        </w:rPr>
        <w:t>» (</w:t>
      </w:r>
      <w:r w:rsidRPr="00301FBA">
        <w:rPr>
          <w:rFonts w:ascii="Times New Roman" w:hAnsi="Times New Roman"/>
        </w:rPr>
        <w:t>https://www.nalog.ru/rn77/related_activities/statistics_and_analytics/forms/</w:t>
      </w:r>
      <w:r>
        <w:rPr>
          <w:rFonts w:ascii="Times New Roman" w:hAnsi="Times New Roman"/>
        </w:rPr>
        <w:t>)</w:t>
      </w:r>
    </w:p>
    <w:p w:rsidR="00F0113F" w:rsidRDefault="00F0113F" w:rsidP="006E10D0">
      <w:pPr>
        <w:pStyle w:val="FootnoteText"/>
      </w:pPr>
    </w:p>
  </w:footnote>
  <w:footnote w:id="8">
    <w:p w:rsidR="00F0113F" w:rsidRDefault="00F0113F">
      <w:pPr>
        <w:pStyle w:val="FootnoteText"/>
      </w:pPr>
      <w:r>
        <w:rPr>
          <w:rStyle w:val="FootnoteReference"/>
        </w:rPr>
        <w:footnoteRef/>
      </w:r>
      <w:r w:rsidRPr="00CB6075">
        <w:rPr>
          <w:rFonts w:ascii="Times New Roman" w:hAnsi="Times New Roman"/>
        </w:rPr>
        <w:t xml:space="preserve">Данные ФТС, </w:t>
      </w:r>
      <w:r>
        <w:rPr>
          <w:rFonts w:ascii="Times New Roman" w:hAnsi="Times New Roman"/>
        </w:rPr>
        <w:t>направленные в рабочую группу по подготовке заседания Президиума Государственного совета Российской Федерации «О развитии рыбохозяйственного комплекса Российской Федерации»</w:t>
      </w:r>
    </w:p>
  </w:footnote>
  <w:footnote w:id="9">
    <w:p w:rsidR="00F0113F" w:rsidRPr="00301FBA" w:rsidRDefault="00F0113F" w:rsidP="006E10D0">
      <w:pPr>
        <w:pStyle w:val="FootnoteText"/>
        <w:rPr>
          <w:rFonts w:ascii="Times New Roman" w:hAnsi="Times New Roman"/>
        </w:rPr>
      </w:pPr>
      <w:r>
        <w:rPr>
          <w:rStyle w:val="FootnoteReference"/>
        </w:rPr>
        <w:footnoteRef/>
      </w:r>
      <w:r w:rsidRPr="00301FBA">
        <w:rPr>
          <w:rFonts w:ascii="Times New Roman" w:hAnsi="Times New Roman"/>
        </w:rPr>
        <w:t xml:space="preserve">Официальный сайт Федеральной </w:t>
      </w:r>
      <w:r>
        <w:rPr>
          <w:rFonts w:ascii="Times New Roman" w:hAnsi="Times New Roman"/>
        </w:rPr>
        <w:t>н</w:t>
      </w:r>
      <w:r w:rsidRPr="00301FBA">
        <w:rPr>
          <w:rFonts w:ascii="Times New Roman" w:hAnsi="Times New Roman"/>
        </w:rPr>
        <w:t xml:space="preserve">алоговой </w:t>
      </w:r>
      <w:r>
        <w:rPr>
          <w:rFonts w:ascii="Times New Roman" w:hAnsi="Times New Roman"/>
        </w:rPr>
        <w:t>с</w:t>
      </w:r>
      <w:r w:rsidRPr="00301FBA">
        <w:rPr>
          <w:rFonts w:ascii="Times New Roman" w:hAnsi="Times New Roman"/>
        </w:rPr>
        <w:t>лужбы</w:t>
      </w:r>
      <w:r>
        <w:rPr>
          <w:rFonts w:ascii="Times New Roman" w:hAnsi="Times New Roman"/>
        </w:rPr>
        <w:t>, раздел «Статистика и аналитика», подраздел «</w:t>
      </w:r>
      <w:r w:rsidRPr="00301FBA">
        <w:rPr>
          <w:rFonts w:ascii="Times New Roman" w:hAnsi="Times New Roman"/>
        </w:rPr>
        <w:t>Данные по формам статистической налоговой отчетности</w:t>
      </w:r>
      <w:r>
        <w:rPr>
          <w:rFonts w:ascii="Times New Roman" w:hAnsi="Times New Roman"/>
        </w:rPr>
        <w:t>» (</w:t>
      </w:r>
      <w:r w:rsidRPr="00301FBA">
        <w:rPr>
          <w:rFonts w:ascii="Times New Roman" w:hAnsi="Times New Roman"/>
        </w:rPr>
        <w:t>https://www.nalog.ru/rn77/related_activities/statistics_and_analytics/forms/</w:t>
      </w:r>
      <w:r>
        <w:rPr>
          <w:rFonts w:ascii="Times New Roman" w:hAnsi="Times New Roman"/>
        </w:rPr>
        <w:t>)</w:t>
      </w:r>
    </w:p>
    <w:p w:rsidR="00F0113F" w:rsidRDefault="00F0113F" w:rsidP="006E10D0">
      <w:pPr>
        <w:pStyle w:val="FootnoteText"/>
      </w:pPr>
    </w:p>
  </w:footnote>
  <w:footnote w:id="10">
    <w:p w:rsidR="00F0113F" w:rsidRDefault="00F0113F">
      <w:pPr>
        <w:pStyle w:val="FootnoteText"/>
      </w:pPr>
      <w:r w:rsidRPr="00D97290">
        <w:rPr>
          <w:rStyle w:val="FootnoteReference"/>
          <w:rFonts w:ascii="Times New Roman" w:hAnsi="Times New Roman"/>
        </w:rPr>
        <w:footnoteRef/>
      </w:r>
      <w:r w:rsidRPr="00D97290">
        <w:rPr>
          <w:rFonts w:ascii="Times New Roman" w:hAnsi="Times New Roman"/>
        </w:rPr>
        <w:t xml:space="preserve"> Согласно расчетам по методологии Комиссии РСПП по рыбному хозяйству и аквакультуре</w:t>
      </w:r>
    </w:p>
  </w:footnote>
  <w:footnote w:id="11">
    <w:p w:rsidR="00F0113F" w:rsidRPr="00301FBA" w:rsidRDefault="00F0113F" w:rsidP="00867424">
      <w:pPr>
        <w:pStyle w:val="FootnoteText"/>
        <w:rPr>
          <w:rFonts w:ascii="Times New Roman" w:hAnsi="Times New Roman"/>
        </w:rPr>
      </w:pPr>
      <w:r>
        <w:rPr>
          <w:rStyle w:val="FootnoteReference"/>
        </w:rPr>
        <w:footnoteRef/>
      </w:r>
      <w:r w:rsidRPr="00301FBA">
        <w:rPr>
          <w:rFonts w:ascii="Times New Roman" w:hAnsi="Times New Roman"/>
        </w:rPr>
        <w:t>Официальный сайт Федеральной Налоговой Службы</w:t>
      </w:r>
      <w:r>
        <w:rPr>
          <w:rFonts w:ascii="Times New Roman" w:hAnsi="Times New Roman"/>
        </w:rPr>
        <w:t>, раздел «Статистика и аналитика», подраздел «</w:t>
      </w:r>
      <w:r w:rsidRPr="00301FBA">
        <w:rPr>
          <w:rFonts w:ascii="Times New Roman" w:hAnsi="Times New Roman"/>
        </w:rPr>
        <w:t>Данные по формам статистической налоговой отчетности</w:t>
      </w:r>
      <w:r>
        <w:rPr>
          <w:rFonts w:ascii="Times New Roman" w:hAnsi="Times New Roman"/>
        </w:rPr>
        <w:t>» (</w:t>
      </w:r>
      <w:r w:rsidRPr="00301FBA">
        <w:rPr>
          <w:rFonts w:ascii="Times New Roman" w:hAnsi="Times New Roman"/>
        </w:rPr>
        <w:t>https://www.nalog.ru/rn77/related_activities/statistics_and_analytics/forms/</w:t>
      </w:r>
      <w:r>
        <w:rPr>
          <w:rFonts w:ascii="Times New Roman" w:hAnsi="Times New Roman"/>
        </w:rPr>
        <w:t>)</w:t>
      </w:r>
    </w:p>
    <w:p w:rsidR="00F0113F" w:rsidRDefault="00F0113F" w:rsidP="00867424">
      <w:pPr>
        <w:pStyle w:val="FootnoteText"/>
      </w:pPr>
    </w:p>
  </w:footnote>
  <w:footnote w:id="12">
    <w:p w:rsidR="00F0113F" w:rsidRPr="00867424" w:rsidRDefault="00F0113F" w:rsidP="00867424">
      <w:pPr>
        <w:pStyle w:val="FootnoteText"/>
        <w:rPr>
          <w:rFonts w:ascii="Times New Roman" w:hAnsi="Times New Roman"/>
        </w:rPr>
      </w:pPr>
      <w:r w:rsidRPr="00867424"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Официальный сайт </w:t>
      </w:r>
      <w:r w:rsidRPr="00867424">
        <w:rPr>
          <w:rFonts w:ascii="Times New Roman" w:hAnsi="Times New Roman"/>
        </w:rPr>
        <w:t>Федеральн</w:t>
      </w:r>
      <w:r>
        <w:rPr>
          <w:rFonts w:ascii="Times New Roman" w:hAnsi="Times New Roman"/>
        </w:rPr>
        <w:t>ой</w:t>
      </w:r>
      <w:r w:rsidRPr="00867424">
        <w:rPr>
          <w:rFonts w:ascii="Times New Roman" w:hAnsi="Times New Roman"/>
        </w:rPr>
        <w:t xml:space="preserve"> служб</w:t>
      </w:r>
      <w:r>
        <w:rPr>
          <w:rFonts w:ascii="Times New Roman" w:hAnsi="Times New Roman"/>
        </w:rPr>
        <w:t>ы</w:t>
      </w:r>
      <w:r w:rsidRPr="00867424">
        <w:rPr>
          <w:rFonts w:ascii="Times New Roman" w:hAnsi="Times New Roman"/>
        </w:rPr>
        <w:t xml:space="preserve"> государственной статистики</w:t>
      </w:r>
      <w:r>
        <w:rPr>
          <w:rFonts w:ascii="Times New Roman" w:hAnsi="Times New Roman"/>
        </w:rPr>
        <w:t>, д</w:t>
      </w:r>
      <w:r w:rsidRPr="00867424">
        <w:rPr>
          <w:rFonts w:ascii="Times New Roman" w:hAnsi="Times New Roman"/>
        </w:rPr>
        <w:t>оклад "Социально-экономическое положение России"</w:t>
      </w:r>
      <w:r>
        <w:rPr>
          <w:rFonts w:ascii="Times New Roman" w:hAnsi="Times New Roman"/>
        </w:rPr>
        <w:t xml:space="preserve"> (</w:t>
      </w:r>
      <w:r w:rsidRPr="00867424">
        <w:rPr>
          <w:rFonts w:ascii="Times New Roman" w:hAnsi="Times New Roman"/>
        </w:rPr>
        <w:t>http://www.gks.ru/wps/wcm/connect/rosstat_main/rosstat/ru/statistics/publications/catalog/doc_1140086922125</w:t>
      </w:r>
      <w:r>
        <w:rPr>
          <w:rFonts w:ascii="Times New Roman" w:hAnsi="Times New Roman"/>
        </w:rPr>
        <w:t>)</w:t>
      </w:r>
    </w:p>
    <w:p w:rsidR="00F0113F" w:rsidRDefault="00F0113F" w:rsidP="00867424">
      <w:pPr>
        <w:pStyle w:val="FootnoteText"/>
      </w:pPr>
    </w:p>
  </w:footnote>
  <w:footnote w:id="13">
    <w:p w:rsidR="00F0113F" w:rsidRDefault="00F0113F">
      <w:pPr>
        <w:pStyle w:val="FootnoteText"/>
      </w:pPr>
      <w:r>
        <w:rPr>
          <w:rStyle w:val="FootnoteReference"/>
        </w:rPr>
        <w:footnoteRef/>
      </w:r>
      <w:r w:rsidRPr="00C32547">
        <w:rPr>
          <w:rFonts w:ascii="Times New Roman" w:hAnsi="Times New Roman"/>
        </w:rPr>
        <w:t>В общем объёме произведённой продукции 72% занимает мороженная рыба (2,73 млн тонн).</w:t>
      </w:r>
    </w:p>
  </w:footnote>
  <w:footnote w:id="14">
    <w:p w:rsidR="00F0113F" w:rsidRDefault="00F0113F">
      <w:pPr>
        <w:pStyle w:val="FootnoteText"/>
      </w:pPr>
      <w:r>
        <w:rPr>
          <w:rStyle w:val="FootnoteReference"/>
        </w:rPr>
        <w:footnoteRef/>
      </w:r>
      <w:r w:rsidRPr="00D20981">
        <w:rPr>
          <w:rFonts w:ascii="Times New Roman" w:hAnsi="Times New Roman"/>
        </w:rPr>
        <w:t xml:space="preserve"> Расчёты</w:t>
      </w:r>
      <w:r>
        <w:rPr>
          <w:rFonts w:ascii="Times New Roman" w:hAnsi="Times New Roman"/>
        </w:rPr>
        <w:t xml:space="preserve"> по методологиям </w:t>
      </w:r>
      <w:r w:rsidRPr="00D20981">
        <w:rPr>
          <w:rFonts w:ascii="Times New Roman" w:hAnsi="Times New Roman"/>
        </w:rPr>
        <w:t xml:space="preserve">ФБК, </w:t>
      </w:r>
      <w:r>
        <w:rPr>
          <w:rFonts w:ascii="Times New Roman" w:hAnsi="Times New Roman"/>
        </w:rPr>
        <w:t xml:space="preserve">ФНС, </w:t>
      </w:r>
      <w:r w:rsidRPr="00D20981">
        <w:rPr>
          <w:rFonts w:ascii="Times New Roman" w:hAnsi="Times New Roman"/>
        </w:rPr>
        <w:t>РСПП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E7269"/>
    <w:multiLevelType w:val="hybridMultilevel"/>
    <w:tmpl w:val="72DA8B5A"/>
    <w:lvl w:ilvl="0" w:tplc="616E385C">
      <w:start w:val="1"/>
      <w:numFmt w:val="upperRoman"/>
      <w:lvlText w:val="%1."/>
      <w:lvlJc w:val="left"/>
      <w:pPr>
        <w:ind w:left="1428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58B27170"/>
    <w:multiLevelType w:val="hybridMultilevel"/>
    <w:tmpl w:val="DB20F2E6"/>
    <w:lvl w:ilvl="0" w:tplc="80CC7E46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1DD8"/>
    <w:rsid w:val="00001416"/>
    <w:rsid w:val="00011215"/>
    <w:rsid w:val="000125AD"/>
    <w:rsid w:val="000200D9"/>
    <w:rsid w:val="0005152B"/>
    <w:rsid w:val="000551EC"/>
    <w:rsid w:val="00066D03"/>
    <w:rsid w:val="00071762"/>
    <w:rsid w:val="0008301E"/>
    <w:rsid w:val="0009205B"/>
    <w:rsid w:val="000B252A"/>
    <w:rsid w:val="000C117E"/>
    <w:rsid w:val="000C176A"/>
    <w:rsid w:val="000D5641"/>
    <w:rsid w:val="000E0AED"/>
    <w:rsid w:val="000E38B8"/>
    <w:rsid w:val="00117CB4"/>
    <w:rsid w:val="00131DC0"/>
    <w:rsid w:val="001431DE"/>
    <w:rsid w:val="0014690F"/>
    <w:rsid w:val="001566D1"/>
    <w:rsid w:val="00156A86"/>
    <w:rsid w:val="00171B48"/>
    <w:rsid w:val="00174FCF"/>
    <w:rsid w:val="001A130B"/>
    <w:rsid w:val="001A173A"/>
    <w:rsid w:val="001A2306"/>
    <w:rsid w:val="001A3E04"/>
    <w:rsid w:val="001D6E61"/>
    <w:rsid w:val="001D784E"/>
    <w:rsid w:val="001E57A7"/>
    <w:rsid w:val="001E6009"/>
    <w:rsid w:val="001F750F"/>
    <w:rsid w:val="00203152"/>
    <w:rsid w:val="00221A8B"/>
    <w:rsid w:val="002309BF"/>
    <w:rsid w:val="002607D7"/>
    <w:rsid w:val="00272062"/>
    <w:rsid w:val="00272303"/>
    <w:rsid w:val="002755A1"/>
    <w:rsid w:val="00287A33"/>
    <w:rsid w:val="002A0800"/>
    <w:rsid w:val="002B03E8"/>
    <w:rsid w:val="002B5236"/>
    <w:rsid w:val="002E1DD8"/>
    <w:rsid w:val="002F17BC"/>
    <w:rsid w:val="00301FBA"/>
    <w:rsid w:val="00303F57"/>
    <w:rsid w:val="00310393"/>
    <w:rsid w:val="00337DE8"/>
    <w:rsid w:val="00364E8C"/>
    <w:rsid w:val="003843B3"/>
    <w:rsid w:val="00391F5C"/>
    <w:rsid w:val="003A7B70"/>
    <w:rsid w:val="003C1CB2"/>
    <w:rsid w:val="003C714D"/>
    <w:rsid w:val="003D0402"/>
    <w:rsid w:val="004063F5"/>
    <w:rsid w:val="0041608D"/>
    <w:rsid w:val="0043589A"/>
    <w:rsid w:val="00443656"/>
    <w:rsid w:val="00476651"/>
    <w:rsid w:val="004875CD"/>
    <w:rsid w:val="004A3B78"/>
    <w:rsid w:val="004B1A1A"/>
    <w:rsid w:val="004C0379"/>
    <w:rsid w:val="004C4CC1"/>
    <w:rsid w:val="004E016B"/>
    <w:rsid w:val="004E0CEC"/>
    <w:rsid w:val="004E4C76"/>
    <w:rsid w:val="004F12F1"/>
    <w:rsid w:val="004F76A5"/>
    <w:rsid w:val="00504D43"/>
    <w:rsid w:val="00510AF9"/>
    <w:rsid w:val="005270C2"/>
    <w:rsid w:val="00540F56"/>
    <w:rsid w:val="0055123D"/>
    <w:rsid w:val="00551923"/>
    <w:rsid w:val="00554E17"/>
    <w:rsid w:val="00564387"/>
    <w:rsid w:val="0057555E"/>
    <w:rsid w:val="005830ED"/>
    <w:rsid w:val="0058315D"/>
    <w:rsid w:val="005A336A"/>
    <w:rsid w:val="005B3B72"/>
    <w:rsid w:val="005B621D"/>
    <w:rsid w:val="005C09DF"/>
    <w:rsid w:val="005C75EF"/>
    <w:rsid w:val="005D190F"/>
    <w:rsid w:val="005D704C"/>
    <w:rsid w:val="005E0EB7"/>
    <w:rsid w:val="005F5D4F"/>
    <w:rsid w:val="005F63A0"/>
    <w:rsid w:val="00601962"/>
    <w:rsid w:val="006028D0"/>
    <w:rsid w:val="0060774E"/>
    <w:rsid w:val="00627C79"/>
    <w:rsid w:val="00630A31"/>
    <w:rsid w:val="00635A7C"/>
    <w:rsid w:val="0066099F"/>
    <w:rsid w:val="006711AF"/>
    <w:rsid w:val="00672C51"/>
    <w:rsid w:val="00696DB4"/>
    <w:rsid w:val="0069745F"/>
    <w:rsid w:val="006A7ACE"/>
    <w:rsid w:val="006B205F"/>
    <w:rsid w:val="006C210B"/>
    <w:rsid w:val="006E10D0"/>
    <w:rsid w:val="006E5E3C"/>
    <w:rsid w:val="007106FB"/>
    <w:rsid w:val="00712ADB"/>
    <w:rsid w:val="0072366B"/>
    <w:rsid w:val="00731D86"/>
    <w:rsid w:val="0077779B"/>
    <w:rsid w:val="007819EE"/>
    <w:rsid w:val="0079357B"/>
    <w:rsid w:val="00794D8B"/>
    <w:rsid w:val="007A653A"/>
    <w:rsid w:val="007A7EB4"/>
    <w:rsid w:val="007C538A"/>
    <w:rsid w:val="007C639C"/>
    <w:rsid w:val="007D4401"/>
    <w:rsid w:val="00802C90"/>
    <w:rsid w:val="008406EB"/>
    <w:rsid w:val="00842BB6"/>
    <w:rsid w:val="008638D0"/>
    <w:rsid w:val="00867424"/>
    <w:rsid w:val="008756C1"/>
    <w:rsid w:val="00886654"/>
    <w:rsid w:val="008A54DF"/>
    <w:rsid w:val="008B575A"/>
    <w:rsid w:val="008B6F89"/>
    <w:rsid w:val="008E1DE4"/>
    <w:rsid w:val="008F0D46"/>
    <w:rsid w:val="00907EBD"/>
    <w:rsid w:val="009268AC"/>
    <w:rsid w:val="0093002D"/>
    <w:rsid w:val="00930EAC"/>
    <w:rsid w:val="00946D7F"/>
    <w:rsid w:val="009623B1"/>
    <w:rsid w:val="009707A3"/>
    <w:rsid w:val="009B7EC4"/>
    <w:rsid w:val="009C10A4"/>
    <w:rsid w:val="009C61ED"/>
    <w:rsid w:val="009D4F8D"/>
    <w:rsid w:val="00A01A61"/>
    <w:rsid w:val="00A025C2"/>
    <w:rsid w:val="00A126FE"/>
    <w:rsid w:val="00A504AF"/>
    <w:rsid w:val="00A57D07"/>
    <w:rsid w:val="00A60247"/>
    <w:rsid w:val="00A619B9"/>
    <w:rsid w:val="00A63D9B"/>
    <w:rsid w:val="00A70EA3"/>
    <w:rsid w:val="00A76ED4"/>
    <w:rsid w:val="00A77117"/>
    <w:rsid w:val="00A80BC4"/>
    <w:rsid w:val="00A864C7"/>
    <w:rsid w:val="00A91752"/>
    <w:rsid w:val="00A92AEC"/>
    <w:rsid w:val="00A93961"/>
    <w:rsid w:val="00AA211E"/>
    <w:rsid w:val="00AB5A81"/>
    <w:rsid w:val="00AC3BE6"/>
    <w:rsid w:val="00AC44D6"/>
    <w:rsid w:val="00AD166A"/>
    <w:rsid w:val="00B05D91"/>
    <w:rsid w:val="00B307D0"/>
    <w:rsid w:val="00B41731"/>
    <w:rsid w:val="00B77BC6"/>
    <w:rsid w:val="00B84BDD"/>
    <w:rsid w:val="00B8793A"/>
    <w:rsid w:val="00BC360D"/>
    <w:rsid w:val="00BC3B38"/>
    <w:rsid w:val="00BC60C4"/>
    <w:rsid w:val="00BC7666"/>
    <w:rsid w:val="00BD0CFF"/>
    <w:rsid w:val="00BE4BC6"/>
    <w:rsid w:val="00BF2F32"/>
    <w:rsid w:val="00BF39DF"/>
    <w:rsid w:val="00C15461"/>
    <w:rsid w:val="00C27F5F"/>
    <w:rsid w:val="00C32547"/>
    <w:rsid w:val="00C3286F"/>
    <w:rsid w:val="00C3671B"/>
    <w:rsid w:val="00C417CD"/>
    <w:rsid w:val="00C71709"/>
    <w:rsid w:val="00C71E84"/>
    <w:rsid w:val="00C729FD"/>
    <w:rsid w:val="00C87E82"/>
    <w:rsid w:val="00CA3305"/>
    <w:rsid w:val="00CB6075"/>
    <w:rsid w:val="00CC2325"/>
    <w:rsid w:val="00CD13C0"/>
    <w:rsid w:val="00CD7766"/>
    <w:rsid w:val="00CF0044"/>
    <w:rsid w:val="00D06946"/>
    <w:rsid w:val="00D20981"/>
    <w:rsid w:val="00D24138"/>
    <w:rsid w:val="00D272CD"/>
    <w:rsid w:val="00D352D6"/>
    <w:rsid w:val="00D3561A"/>
    <w:rsid w:val="00D40B72"/>
    <w:rsid w:val="00D55207"/>
    <w:rsid w:val="00D6013B"/>
    <w:rsid w:val="00D62D9E"/>
    <w:rsid w:val="00D64AD1"/>
    <w:rsid w:val="00D77419"/>
    <w:rsid w:val="00D84423"/>
    <w:rsid w:val="00D85877"/>
    <w:rsid w:val="00D9027A"/>
    <w:rsid w:val="00D9361C"/>
    <w:rsid w:val="00D95447"/>
    <w:rsid w:val="00D97290"/>
    <w:rsid w:val="00DB120A"/>
    <w:rsid w:val="00DC7660"/>
    <w:rsid w:val="00DC7B3E"/>
    <w:rsid w:val="00DD1DD9"/>
    <w:rsid w:val="00DD49EB"/>
    <w:rsid w:val="00DE0E11"/>
    <w:rsid w:val="00DF481D"/>
    <w:rsid w:val="00E17633"/>
    <w:rsid w:val="00E41FB9"/>
    <w:rsid w:val="00E44400"/>
    <w:rsid w:val="00E45340"/>
    <w:rsid w:val="00E53850"/>
    <w:rsid w:val="00E83662"/>
    <w:rsid w:val="00E8385D"/>
    <w:rsid w:val="00E90286"/>
    <w:rsid w:val="00EC2A64"/>
    <w:rsid w:val="00EC2F2A"/>
    <w:rsid w:val="00EF601E"/>
    <w:rsid w:val="00F00182"/>
    <w:rsid w:val="00F0113F"/>
    <w:rsid w:val="00F10F6F"/>
    <w:rsid w:val="00F1178A"/>
    <w:rsid w:val="00F212B9"/>
    <w:rsid w:val="00F3379E"/>
    <w:rsid w:val="00F41759"/>
    <w:rsid w:val="00F442DB"/>
    <w:rsid w:val="00F77E34"/>
    <w:rsid w:val="00F8112C"/>
    <w:rsid w:val="00F91CF5"/>
    <w:rsid w:val="00FA0E38"/>
    <w:rsid w:val="00FA75EA"/>
    <w:rsid w:val="00FC44B3"/>
    <w:rsid w:val="00FD11FC"/>
    <w:rsid w:val="00FD17CF"/>
    <w:rsid w:val="00FD2798"/>
    <w:rsid w:val="00FE0F25"/>
    <w:rsid w:val="00FF6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FBA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rsid w:val="0077779B"/>
    <w:rPr>
      <w:rFonts w:ascii="Calibri" w:hAnsi="Calibr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77779B"/>
    <w:rPr>
      <w:rFonts w:ascii="Calibri" w:eastAsia="Times New Roman" w:hAnsi="Calibri" w:cs="Times New Roman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rsid w:val="0077779B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A70E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70EA3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1D6E6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D6E61"/>
    <w:rPr>
      <w:rFonts w:cs="Times New Roman"/>
    </w:rPr>
  </w:style>
  <w:style w:type="character" w:styleId="PageNumber">
    <w:name w:val="page number"/>
    <w:basedOn w:val="DefaultParagraphFont"/>
    <w:uiPriority w:val="99"/>
    <w:semiHidden/>
    <w:rsid w:val="001D6E61"/>
    <w:rPr>
      <w:rFonts w:cs="Times New Roman"/>
    </w:rPr>
  </w:style>
  <w:style w:type="character" w:styleId="Hyperlink">
    <w:name w:val="Hyperlink"/>
    <w:basedOn w:val="DefaultParagraphFont"/>
    <w:uiPriority w:val="99"/>
    <w:rsid w:val="00BC360D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867424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3282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2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2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2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2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2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2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2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2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2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2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2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2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2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2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2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2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nalog.r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14</Pages>
  <Words>4229</Words>
  <Characters>24111</Characters>
  <Application>Microsoft Office Outlook</Application>
  <DocSecurity>0</DocSecurity>
  <Lines>0</Lines>
  <Paragraphs>0</Paragraphs>
  <ScaleCrop>false</ScaleCrop>
  <Company>АДМ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Зверев Герман</dc:creator>
  <cp:keywords/>
  <dc:description/>
  <cp:lastModifiedBy>Admin</cp:lastModifiedBy>
  <cp:revision>18</cp:revision>
  <cp:lastPrinted>2015-11-30T03:54:00Z</cp:lastPrinted>
  <dcterms:created xsi:type="dcterms:W3CDTF">2015-12-10T07:15:00Z</dcterms:created>
  <dcterms:modified xsi:type="dcterms:W3CDTF">2016-03-31T02:30:00Z</dcterms:modified>
</cp:coreProperties>
</file>